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icker"/>
      </w:pPr>
      <w:r>
        <w:t>FICTIONAL DEMO PROOF | RESPONSE BOOK</w:t>
      </w:r>
    </w:p>
    <w:p>
      <w:pPr>
        <w:pStyle w:val="Title"/>
      </w:pPr>
      <w:r>
        <w:t>Review Response Rescue Tonight</w:t>
      </w:r>
    </w:p>
    <w:p>
      <w:pPr>
        <w:pStyle w:val="Subtitle"/>
      </w:pPr>
      <w:r>
        <w:t>Twenty ready-for-review drafts for Marlowe Street Books &amp; Paper</w:t>
      </w:r>
    </w:p>
    <w:p>
      <w:pPr>
        <w:pStyle w:val="BoundaryCallout"/>
        <w:shd w:fill="FFF1D6"/>
        <w:keepNext w:val="0"/>
        <w:keepLines/>
        <w:pBdr>
          <w:left w:val="single" w:sz="18" w:space="8" w:color="C3953D"/>
        </w:pBdr>
      </w:pPr>
      <w:r>
        <w:rPr>
          <w:rFonts w:ascii="Calibri" w:hAnsi="Calibri"/>
          <w:b/>
          <w:color w:val="17324D"/>
          <w:sz w:val="20"/>
        </w:rPr>
        <w:t xml:space="preserve">STATUS: </w:t>
      </w:r>
      <w:r>
        <w:rPr>
          <w:rFonts w:ascii="Calibri" w:hAnsi="Calibri"/>
          <w:color w:val="1F2937"/>
          <w:sz w:val="20"/>
        </w:rPr>
        <w:t>FICTIONAL DEMO ONLY - no real business, reviewer, customer, platform, order, or personal data.</w:t>
      </w:r>
    </w:p>
    <w:tbl>
      <w:tblPr>
        <w:tblW w:type="dxa" w:w="9360"/>
        <w:tblLayout w:type="fixed"/>
        <w:tblLook w:firstColumn="1" w:firstRow="1" w:lastColumn="0" w:lastRow="0" w:noHBand="0" w:noVBand="1" w:val="04A0"/>
        <w:tblInd w:w="120" w:type="dxa"/>
        <w:tblBorders>
          <w:top w:val="single" w:sz="4" w:space="0" w:color="D6DEE3"/>
          <w:left w:val="single" w:sz="4" w:space="0" w:color="D6DEE3"/>
          <w:bottom w:val="single" w:sz="4" w:space="0" w:color="D6DEE3"/>
          <w:right w:val="single" w:sz="4" w:space="0" w:color="D6DEE3"/>
          <w:insideH w:val="single" w:sz="4" w:space="0" w:color="D6DEE3"/>
          <w:insideV w:val="single" w:sz="4" w:space="0" w:color="D6DEE3"/>
        </w:tblBorders>
      </w:tblPr>
      <w:tblGrid>
        <w:gridCol w:w="1200"/>
        <w:gridCol w:w="3480"/>
        <w:gridCol w:w="1200"/>
        <w:gridCol w:w="3480"/>
      </w:tblGrid>
      <w:tr>
        <w:trPr>
          <w:cantSplit/>
        </w:trPr>
        <w:tc>
          <w:tcPr>
            <w:tcW w:type="dxa" w:w="1200"/>
            <w:shd w:fill="F5F0E6"/>
            <w:tcMar>
              <w:top w:w="80" w:type="dxa"/>
              <w:bottom w:w="80" w:type="dxa"/>
              <w:start w:w="120" w:type="dxa"/>
              <w:end w:w="120" w:type="dxa"/>
            </w:tcMar>
            <w:vAlign w:val="center"/>
          </w:tcPr>
          <w:p>
            <w:pPr>
              <w:spacing w:before="0" w:after="0" w:line="259" w:lineRule="auto"/>
            </w:pPr>
            <w:r>
              <w:rPr>
                <w:rFonts w:ascii="Calibri" w:hAnsi="Calibri"/>
                <w:b/>
                <w:color w:val="1F2937"/>
                <w:sz w:val="18"/>
              </w:rPr>
              <w:t>Business</w:t>
            </w:r>
          </w:p>
        </w:tc>
        <w:tc>
          <w:tcPr>
            <w:tcW w:type="dxa" w:w="3480"/>
            <w:tcMar>
              <w:top w:w="80" w:type="dxa"/>
              <w:bottom w:w="80" w:type="dxa"/>
              <w:start w:w="120" w:type="dxa"/>
              <w:end w:w="120" w:type="dxa"/>
            </w:tcMar>
            <w:vAlign w:val="center"/>
          </w:tcPr>
          <w:p>
            <w:pPr>
              <w:spacing w:before="0" w:after="0" w:line="259" w:lineRule="auto"/>
            </w:pPr>
            <w:r>
              <w:rPr>
                <w:rFonts w:ascii="Calibri" w:hAnsi="Calibri"/>
                <w:b w:val="0"/>
                <w:color w:val="1F2937"/>
                <w:sz w:val="18"/>
              </w:rPr>
              <w:t>Marlowe Street Books &amp; Paper</w:t>
            </w:r>
          </w:p>
        </w:tc>
        <w:tc>
          <w:tcPr>
            <w:tcW w:type="dxa" w:w="1200"/>
            <w:shd w:fill="F5F0E6"/>
            <w:tcMar>
              <w:top w:w="80" w:type="dxa"/>
              <w:bottom w:w="80" w:type="dxa"/>
              <w:start w:w="120" w:type="dxa"/>
              <w:end w:w="120" w:type="dxa"/>
            </w:tcMar>
            <w:vAlign w:val="center"/>
          </w:tcPr>
          <w:p>
            <w:pPr>
              <w:spacing w:before="0" w:after="0" w:line="259" w:lineRule="auto"/>
            </w:pPr>
            <w:r>
              <w:rPr>
                <w:rFonts w:ascii="Calibri" w:hAnsi="Calibri"/>
                <w:b/>
                <w:color w:val="1F2937"/>
                <w:sz w:val="18"/>
              </w:rPr>
              <w:t>Location</w:t>
            </w:r>
          </w:p>
        </w:tc>
        <w:tc>
          <w:tcPr>
            <w:tcW w:type="dxa" w:w="3480"/>
            <w:tcMar>
              <w:top w:w="80" w:type="dxa"/>
              <w:bottom w:w="80" w:type="dxa"/>
              <w:start w:w="120" w:type="dxa"/>
              <w:end w:w="120" w:type="dxa"/>
            </w:tcMar>
            <w:vAlign w:val="center"/>
          </w:tcPr>
          <w:p>
            <w:pPr>
              <w:spacing w:before="0" w:after="0" w:line="259" w:lineRule="auto"/>
            </w:pPr>
            <w:r>
              <w:rPr>
                <w:rFonts w:ascii="Calibri" w:hAnsi="Calibri"/>
                <w:b w:val="0"/>
                <w:color w:val="1F2937"/>
                <w:sz w:val="18"/>
              </w:rPr>
              <w:t>Bellweather shop (fictional location)</w:t>
            </w:r>
          </w:p>
        </w:tc>
      </w:tr>
      <w:tr>
        <w:trPr>
          <w:cantSplit/>
        </w:trPr>
        <w:tc>
          <w:tcPr>
            <w:tcW w:type="dxa" w:w="1200"/>
            <w:shd w:fill="F5F0E6"/>
            <w:tcMar>
              <w:top w:w="80" w:type="dxa"/>
              <w:bottom w:w="80" w:type="dxa"/>
              <w:start w:w="120" w:type="dxa"/>
              <w:end w:w="120" w:type="dxa"/>
            </w:tcMar>
            <w:vAlign w:val="center"/>
          </w:tcPr>
          <w:p>
            <w:pPr>
              <w:spacing w:before="0" w:after="0" w:line="259" w:lineRule="auto"/>
            </w:pPr>
            <w:r>
              <w:rPr>
                <w:rFonts w:ascii="Calibri" w:hAnsi="Calibri"/>
                <w:b/>
                <w:color w:val="1F2937"/>
                <w:sz w:val="18"/>
              </w:rPr>
              <w:t>Category</w:t>
            </w:r>
          </w:p>
        </w:tc>
        <w:tc>
          <w:tcPr>
            <w:tcW w:type="dxa" w:w="3480"/>
            <w:tcMar>
              <w:top w:w="80" w:type="dxa"/>
              <w:bottom w:w="80" w:type="dxa"/>
              <w:start w:w="120" w:type="dxa"/>
              <w:end w:w="120" w:type="dxa"/>
            </w:tcMar>
            <w:vAlign w:val="center"/>
          </w:tcPr>
          <w:p>
            <w:pPr>
              <w:spacing w:before="0" w:after="0" w:line="259" w:lineRule="auto"/>
            </w:pPr>
            <w:r>
              <w:rPr>
                <w:rFonts w:ascii="Calibri" w:hAnsi="Calibri"/>
                <w:b w:val="0"/>
                <w:color w:val="1F2937"/>
                <w:sz w:val="18"/>
              </w:rPr>
              <w:t>Independent bookstore and stationery shop</w:t>
            </w:r>
          </w:p>
        </w:tc>
        <w:tc>
          <w:tcPr>
            <w:tcW w:type="dxa" w:w="1200"/>
            <w:shd w:fill="F5F0E6"/>
            <w:tcMar>
              <w:top w:w="80" w:type="dxa"/>
              <w:bottom w:w="80" w:type="dxa"/>
              <w:start w:w="120" w:type="dxa"/>
              <w:end w:w="120" w:type="dxa"/>
            </w:tcMar>
            <w:vAlign w:val="center"/>
          </w:tcPr>
          <w:p>
            <w:pPr>
              <w:spacing w:before="0" w:after="0" w:line="259" w:lineRule="auto"/>
            </w:pPr>
            <w:r>
              <w:rPr>
                <w:rFonts w:ascii="Calibri" w:hAnsi="Calibri"/>
                <w:b/>
                <w:color w:val="1F2937"/>
                <w:sz w:val="18"/>
              </w:rPr>
              <w:t>Audience</w:t>
            </w:r>
          </w:p>
        </w:tc>
        <w:tc>
          <w:tcPr>
            <w:tcW w:type="dxa" w:w="3480"/>
            <w:tcMar>
              <w:top w:w="80" w:type="dxa"/>
              <w:bottom w:w="80" w:type="dxa"/>
              <w:start w:w="120" w:type="dxa"/>
              <w:end w:w="120" w:type="dxa"/>
            </w:tcMar>
            <w:vAlign w:val="center"/>
          </w:tcPr>
          <w:p>
            <w:pPr>
              <w:spacing w:before="0" w:after="0" w:line="259" w:lineRule="auto"/>
            </w:pPr>
            <w:r>
              <w:rPr>
                <w:rFonts w:ascii="Calibri" w:hAnsi="Calibri"/>
                <w:b w:val="0"/>
                <w:color w:val="1F2937"/>
                <w:sz w:val="18"/>
              </w:rPr>
              <w:t>Public review readers and prospective neighborhood shoppers</w:t>
            </w:r>
          </w:p>
        </w:tc>
      </w:tr>
      <w:tr>
        <w:trPr>
          <w:cantSplit/>
        </w:trPr>
        <w:tc>
          <w:tcPr>
            <w:tcW w:type="dxa" w:w="1200"/>
            <w:shd w:fill="F5F0E6"/>
            <w:tcMar>
              <w:top w:w="80" w:type="dxa"/>
              <w:bottom w:w="80" w:type="dxa"/>
              <w:start w:w="120" w:type="dxa"/>
              <w:end w:w="120" w:type="dxa"/>
            </w:tcMar>
            <w:vAlign w:val="center"/>
          </w:tcPr>
          <w:p>
            <w:pPr>
              <w:spacing w:before="0" w:after="0" w:line="259" w:lineRule="auto"/>
            </w:pPr>
            <w:r>
              <w:rPr>
                <w:rFonts w:ascii="Calibri" w:hAnsi="Calibri"/>
                <w:b/>
                <w:color w:val="1F2937"/>
                <w:sz w:val="18"/>
              </w:rPr>
              <w:t>Prepared</w:t>
            </w:r>
          </w:p>
        </w:tc>
        <w:tc>
          <w:tcPr>
            <w:tcW w:type="dxa" w:w="3480"/>
            <w:tcMar>
              <w:top w:w="80" w:type="dxa"/>
              <w:bottom w:w="80" w:type="dxa"/>
              <w:start w:w="120" w:type="dxa"/>
              <w:end w:w="120" w:type="dxa"/>
            </w:tcMar>
            <w:vAlign w:val="center"/>
          </w:tcPr>
          <w:p>
            <w:pPr>
              <w:spacing w:before="0" w:after="0" w:line="259" w:lineRule="auto"/>
            </w:pPr>
            <w:r>
              <w:rPr>
                <w:rFonts w:ascii="Calibri" w:hAnsi="Calibri"/>
                <w:b w:val="0"/>
                <w:color w:val="1F2937"/>
                <w:sz w:val="18"/>
              </w:rPr>
              <w:t>2026-08-17</w:t>
            </w:r>
          </w:p>
        </w:tc>
        <w:tc>
          <w:tcPr>
            <w:tcW w:type="dxa" w:w="1200"/>
            <w:shd w:fill="F5F0E6"/>
            <w:tcMar>
              <w:top w:w="80" w:type="dxa"/>
              <w:bottom w:w="80" w:type="dxa"/>
              <w:start w:w="120" w:type="dxa"/>
              <w:end w:w="120" w:type="dxa"/>
            </w:tcMar>
            <w:vAlign w:val="center"/>
          </w:tcPr>
          <w:p>
            <w:pPr>
              <w:spacing w:before="0" w:after="0" w:line="259" w:lineRule="auto"/>
            </w:pPr>
            <w:r>
              <w:rPr>
                <w:rFonts w:ascii="Calibri" w:hAnsi="Calibri"/>
                <w:b/>
                <w:color w:val="1F2937"/>
                <w:sz w:val="18"/>
              </w:rPr>
              <w:t>Use</w:t>
            </w:r>
          </w:p>
        </w:tc>
        <w:tc>
          <w:tcPr>
            <w:tcW w:type="dxa" w:w="3480"/>
            <w:tcMar>
              <w:top w:w="80" w:type="dxa"/>
              <w:bottom w:w="80" w:type="dxa"/>
              <w:start w:w="120" w:type="dxa"/>
              <w:end w:w="120" w:type="dxa"/>
            </w:tcMar>
            <w:vAlign w:val="center"/>
          </w:tcPr>
          <w:p>
            <w:pPr>
              <w:spacing w:before="0" w:after="0" w:line="259" w:lineRule="auto"/>
            </w:pPr>
            <w:r>
              <w:rPr>
                <w:rFonts w:ascii="Calibri" w:hAnsi="Calibri"/>
                <w:b w:val="0"/>
                <w:color w:val="1F2937"/>
                <w:sz w:val="18"/>
              </w:rPr>
              <w:t>Buyer review and manual paste only</w:t>
            </w:r>
          </w:p>
        </w:tc>
      </w:tr>
    </w:tbl>
    <w:p>
      <w:pPr>
        <w:pStyle w:val="Heading1"/>
      </w:pPr>
      <w:r>
        <w:t>Batch snapshot</w:t>
      </w:r>
    </w:p>
    <w:tbl>
      <w:tblPr>
        <w:tblW w:type="dxa" w:w="9360"/>
        <w:tblLayout w:type="fixed"/>
        <w:tblLook w:firstColumn="1" w:firstRow="1" w:lastColumn="0" w:lastRow="0" w:noHBand="0" w:noVBand="1" w:val="04A0"/>
        <w:tblInd w:w="120" w:type="dxa"/>
        <w:tblBorders>
          <w:top w:val="single" w:sz="4" w:space="0" w:color="D6DEE3"/>
          <w:left w:val="single" w:sz="4" w:space="0" w:color="D6DEE3"/>
          <w:bottom w:val="single" w:sz="4" w:space="0" w:color="D6DEE3"/>
          <w:right w:val="single" w:sz="4" w:space="0" w:color="D6DEE3"/>
          <w:insideH w:val="single" w:sz="4" w:space="0" w:color="D6DEE3"/>
          <w:insideV w:val="single" w:sz="4" w:space="0" w:color="D6DEE3"/>
        </w:tblBorders>
      </w:tblPr>
      <w:tblGrid>
        <w:gridCol w:w="1872"/>
        <w:gridCol w:w="1872"/>
        <w:gridCol w:w="1872"/>
        <w:gridCol w:w="1872"/>
        <w:gridCol w:w="1872"/>
      </w:tblGrid>
      <w:tr>
        <w:trPr>
          <w:cantSplit/>
          <w:tblHeader w:val="true"/>
        </w:trPr>
        <w:tc>
          <w:tcPr>
            <w:tcW w:type="dxa" w:w="1872"/>
            <w:tcMar>
              <w:top w:w="80" w:type="dxa"/>
              <w:bottom w:w="80" w:type="dxa"/>
              <w:start w:w="120" w:type="dxa"/>
              <w:end w:w="120" w:type="dxa"/>
            </w:tcMar>
            <w:vAlign w:val="center"/>
            <w:shd w:fill="246B67"/>
          </w:tcPr>
          <w:p>
            <w:pPr>
              <w:spacing w:before="0" w:after="0" w:line="259" w:lineRule="auto"/>
            </w:pPr>
            <w:r>
              <w:rPr>
                <w:rFonts w:ascii="Calibri" w:hAnsi="Calibri"/>
                <w:b/>
                <w:color w:val="FFFFFF"/>
                <w:sz w:val="18"/>
              </w:rPr>
              <w:t>Reviews</w:t>
            </w:r>
          </w:p>
        </w:tc>
        <w:tc>
          <w:tcPr>
            <w:tcW w:type="dxa" w:w="1872"/>
            <w:tcMar>
              <w:top w:w="80" w:type="dxa"/>
              <w:bottom w:w="80" w:type="dxa"/>
              <w:start w:w="120" w:type="dxa"/>
              <w:end w:w="120" w:type="dxa"/>
            </w:tcMar>
            <w:vAlign w:val="center"/>
            <w:shd w:fill="246B67"/>
          </w:tcPr>
          <w:p>
            <w:pPr>
              <w:spacing w:before="0" w:after="0" w:line="259" w:lineRule="auto"/>
            </w:pPr>
            <w:r>
              <w:rPr>
                <w:rFonts w:ascii="Calibri" w:hAnsi="Calibri"/>
                <w:b/>
                <w:color w:val="FFFFFF"/>
                <w:sz w:val="18"/>
              </w:rPr>
              <w:t>E0 routine</w:t>
            </w:r>
          </w:p>
        </w:tc>
        <w:tc>
          <w:tcPr>
            <w:tcW w:type="dxa" w:w="1872"/>
            <w:tcMar>
              <w:top w:w="80" w:type="dxa"/>
              <w:bottom w:w="80" w:type="dxa"/>
              <w:start w:w="120" w:type="dxa"/>
              <w:end w:w="120" w:type="dxa"/>
            </w:tcMar>
            <w:vAlign w:val="center"/>
            <w:shd w:fill="246B67"/>
          </w:tcPr>
          <w:p>
            <w:pPr>
              <w:spacing w:before="0" w:after="0" w:line="259" w:lineRule="auto"/>
            </w:pPr>
            <w:r>
              <w:rPr>
                <w:rFonts w:ascii="Calibri" w:hAnsi="Calibri"/>
                <w:b/>
                <w:color w:val="FFFFFF"/>
                <w:sz w:val="18"/>
              </w:rPr>
              <w:t>E1 awareness</w:t>
            </w:r>
          </w:p>
        </w:tc>
        <w:tc>
          <w:tcPr>
            <w:tcW w:type="dxa" w:w="1872"/>
            <w:tcMar>
              <w:top w:w="80" w:type="dxa"/>
              <w:bottom w:w="80" w:type="dxa"/>
              <w:start w:w="120" w:type="dxa"/>
              <w:end w:w="120" w:type="dxa"/>
            </w:tcMar>
            <w:vAlign w:val="center"/>
            <w:shd w:fill="246B67"/>
          </w:tcPr>
          <w:p>
            <w:pPr>
              <w:spacing w:before="0" w:after="0" w:line="259" w:lineRule="auto"/>
            </w:pPr>
            <w:r>
              <w:rPr>
                <w:rFonts w:ascii="Calibri" w:hAnsi="Calibri"/>
                <w:b/>
                <w:color w:val="FFFFFF"/>
                <w:sz w:val="18"/>
              </w:rPr>
              <w:t>E2 follow-up</w:t>
            </w:r>
          </w:p>
        </w:tc>
        <w:tc>
          <w:tcPr>
            <w:tcW w:type="dxa" w:w="1872"/>
            <w:tcMar>
              <w:top w:w="80" w:type="dxa"/>
              <w:bottom w:w="80" w:type="dxa"/>
              <w:start w:w="120" w:type="dxa"/>
              <w:end w:w="120" w:type="dxa"/>
            </w:tcMar>
            <w:vAlign w:val="center"/>
            <w:shd w:fill="246B67"/>
          </w:tcPr>
          <w:p>
            <w:pPr>
              <w:spacing w:before="0" w:after="0" w:line="259" w:lineRule="auto"/>
            </w:pPr>
            <w:r>
              <w:rPr>
                <w:rFonts w:ascii="Calibri" w:hAnsi="Calibri"/>
                <w:b/>
                <w:color w:val="FFFFFF"/>
                <w:sz w:val="18"/>
              </w:rPr>
              <w:t>Claim maps</w:t>
            </w:r>
          </w:p>
        </w:tc>
      </w:tr>
      <w:tr>
        <w:trPr>
          <w:cantSplit/>
        </w:trPr>
        <w:tc>
          <w:tcPr>
            <w:tcW w:type="dxa" w:w="1872"/>
            <w:tcMar>
              <w:top w:w="80" w:type="dxa"/>
              <w:bottom w:w="80" w:type="dxa"/>
              <w:start w:w="120" w:type="dxa"/>
              <w:end w:w="120" w:type="dxa"/>
            </w:tcMar>
            <w:vAlign w:val="center"/>
          </w:tcPr>
          <w:p>
            <w:pPr>
              <w:spacing w:before="0" w:after="0" w:line="259" w:lineRule="auto"/>
              <w:jc w:val="center"/>
            </w:pPr>
            <w:r>
              <w:rPr>
                <w:rFonts w:ascii="Calibri" w:hAnsi="Calibri"/>
                <w:b/>
                <w:color w:val="246B67"/>
                <w:sz w:val="32"/>
              </w:rPr>
              <w:t>20</w:t>
            </w:r>
          </w:p>
        </w:tc>
        <w:tc>
          <w:tcPr>
            <w:tcW w:type="dxa" w:w="1872"/>
            <w:tcMar>
              <w:top w:w="80" w:type="dxa"/>
              <w:bottom w:w="80" w:type="dxa"/>
              <w:start w:w="120" w:type="dxa"/>
              <w:end w:w="120" w:type="dxa"/>
            </w:tcMar>
            <w:vAlign w:val="center"/>
          </w:tcPr>
          <w:p>
            <w:pPr>
              <w:spacing w:before="0" w:after="0" w:line="259" w:lineRule="auto"/>
              <w:jc w:val="center"/>
            </w:pPr>
            <w:r>
              <w:rPr>
                <w:rFonts w:ascii="Calibri" w:hAnsi="Calibri"/>
                <w:b/>
                <w:color w:val="246B67"/>
                <w:sz w:val="32"/>
              </w:rPr>
              <w:t>9</w:t>
            </w:r>
          </w:p>
        </w:tc>
        <w:tc>
          <w:tcPr>
            <w:tcW w:type="dxa" w:w="1872"/>
            <w:tcMar>
              <w:top w:w="80" w:type="dxa"/>
              <w:bottom w:w="80" w:type="dxa"/>
              <w:start w:w="120" w:type="dxa"/>
              <w:end w:w="120" w:type="dxa"/>
            </w:tcMar>
            <w:vAlign w:val="center"/>
          </w:tcPr>
          <w:p>
            <w:pPr>
              <w:spacing w:before="0" w:after="0" w:line="259" w:lineRule="auto"/>
              <w:jc w:val="center"/>
            </w:pPr>
            <w:r>
              <w:rPr>
                <w:rFonts w:ascii="Calibri" w:hAnsi="Calibri"/>
                <w:b/>
                <w:color w:val="246B67"/>
                <w:sz w:val="32"/>
              </w:rPr>
              <w:t>6</w:t>
            </w:r>
          </w:p>
        </w:tc>
        <w:tc>
          <w:tcPr>
            <w:tcW w:type="dxa" w:w="1872"/>
            <w:tcMar>
              <w:top w:w="80" w:type="dxa"/>
              <w:bottom w:w="80" w:type="dxa"/>
              <w:start w:w="120" w:type="dxa"/>
              <w:end w:w="120" w:type="dxa"/>
            </w:tcMar>
            <w:vAlign w:val="center"/>
          </w:tcPr>
          <w:p>
            <w:pPr>
              <w:spacing w:before="0" w:after="0" w:line="259" w:lineRule="auto"/>
              <w:jc w:val="center"/>
            </w:pPr>
            <w:r>
              <w:rPr>
                <w:rFonts w:ascii="Calibri" w:hAnsi="Calibri"/>
                <w:b/>
                <w:color w:val="246B67"/>
                <w:sz w:val="32"/>
              </w:rPr>
              <w:t>5</w:t>
            </w:r>
          </w:p>
        </w:tc>
        <w:tc>
          <w:tcPr>
            <w:tcW w:type="dxa" w:w="1872"/>
            <w:tcMar>
              <w:top w:w="80" w:type="dxa"/>
              <w:bottom w:w="80" w:type="dxa"/>
              <w:start w:w="120" w:type="dxa"/>
              <w:end w:w="120" w:type="dxa"/>
            </w:tcMar>
            <w:vAlign w:val="center"/>
          </w:tcPr>
          <w:p>
            <w:pPr>
              <w:spacing w:before="0" w:after="0" w:line="259" w:lineRule="auto"/>
              <w:jc w:val="center"/>
            </w:pPr>
            <w:r>
              <w:rPr>
                <w:rFonts w:ascii="Calibri" w:hAnsi="Calibri"/>
                <w:b/>
                <w:color w:val="246B67"/>
                <w:sz w:val="32"/>
              </w:rPr>
              <w:t>39</w:t>
            </w:r>
          </w:p>
        </w:tc>
      </w:tr>
    </w:tbl>
    <w:p>
      <w:pPr>
        <w:pStyle w:val="Heading1"/>
      </w:pPr>
      <w:r>
        <w:t>What is inside</w:t>
      </w:r>
    </w:p>
    <w:p>
      <w:pPr>
        <w:pStyle w:val="BodyList"/>
        <w:numPr>
          <w:ilvl w:val="0"/>
          <w:numId w:val="10"/>
        </w:numPr>
      </w:pPr>
      <w:r>
        <w:rPr>
          <w:rFonts w:ascii="Calibri" w:hAnsi="Calibri"/>
          <w:color w:val="1F2937"/>
          <w:sz w:val="22"/>
        </w:rPr>
        <w:t>Twenty distinct 42-61 word owner-response drafts, each paired with its fictional review.</w:t>
      </w:r>
    </w:p>
    <w:p>
      <w:pPr>
        <w:pStyle w:val="BodyList"/>
        <w:numPr>
          <w:ilvl w:val="0"/>
          <w:numId w:val="10"/>
        </w:numPr>
      </w:pPr>
      <w:r>
        <w:rPr>
          <w:rFonts w:ascii="Calibri" w:hAnsi="Calibri"/>
          <w:color w:val="1F2937"/>
          <w:sz w:val="22"/>
        </w:rPr>
        <w:t>Controlled sentiment, issue, urgency, E0/E1/E2, and disposition labels.</w:t>
      </w:r>
    </w:p>
    <w:p>
      <w:pPr>
        <w:pStyle w:val="BodyList"/>
        <w:numPr>
          <w:ilvl w:val="0"/>
          <w:numId w:val="10"/>
        </w:numPr>
      </w:pPr>
      <w:r>
        <w:rPr>
          <w:rFonts w:ascii="Calibri" w:hAnsi="Calibri"/>
          <w:color w:val="1F2937"/>
          <w:sz w:val="22"/>
        </w:rPr>
        <w:t>Per-response trace notes tied to the review text and verified fictional fact IDs.</w:t>
      </w:r>
    </w:p>
    <w:p>
      <w:pPr>
        <w:pStyle w:val="BodyList"/>
        <w:numPr>
          <w:ilvl w:val="0"/>
          <w:numId w:val="10"/>
        </w:numPr>
      </w:pPr>
      <w:r>
        <w:rPr>
          <w:rFonts w:ascii="Calibri" w:hAnsi="Calibri"/>
          <w:color w:val="1F2937"/>
          <w:sz w:val="22"/>
        </w:rPr>
        <w:t>A fact library, annotated weak-to-production change log, and publication checklist.</w:t>
      </w:r>
    </w:p>
    <w:p>
      <w:pPr>
        <w:spacing w:before="0" w:after="0"/>
      </w:pPr>
      <w:r>
        <w:br w:type="page"/>
      </w:r>
    </w:p>
    <w:p>
      <w:pPr>
        <w:pStyle w:val="Kicker"/>
      </w:pPr>
      <w:r>
        <w:t>OPERATOR REFERENCE</w:t>
      </w:r>
    </w:p>
    <w:p>
      <w:pPr>
        <w:pStyle w:val="Heading1"/>
      </w:pPr>
      <w:r>
        <w:t>Verified business context</w:t>
      </w:r>
    </w:p>
    <w:p>
      <w:pPr>
        <w:pStyle w:val="BoundaryCallout"/>
        <w:shd w:fill="E8F4F1"/>
        <w:keepNext w:val="0"/>
        <w:keepLines/>
        <w:pBdr>
          <w:left w:val="single" w:sz="18" w:space="8" w:color="246B67"/>
        </w:pBdr>
      </w:pPr>
      <w:r>
        <w:rPr>
          <w:rFonts w:ascii="Calibri" w:hAnsi="Calibri"/>
          <w:b/>
          <w:color w:val="17324D"/>
          <w:sz w:val="20"/>
        </w:rPr>
        <w:t xml:space="preserve">SCOPE: </w:t>
      </w:r>
      <w:r>
        <w:rPr>
          <w:rFonts w:ascii="Calibri" w:hAnsi="Calibri"/>
          <w:color w:val="1F2937"/>
          <w:sz w:val="20"/>
        </w:rPr>
        <w:t>One fictional non-regulated bookstore and stationery location. The work is drafting and triage only: no platform login, posting, reviewer contact, solicitation, or impersonation.</w:t>
      </w:r>
    </w:p>
    <w:tbl>
      <w:tblPr>
        <w:tblW w:type="dxa" w:w="9360"/>
        <w:tblLayout w:type="fixed"/>
        <w:tblLook w:firstColumn="1" w:firstRow="1" w:lastColumn="0" w:lastRow="0" w:noHBand="0" w:noVBand="1" w:val="04A0"/>
        <w:tblInd w:w="120" w:type="dxa"/>
        <w:tblBorders>
          <w:top w:val="single" w:sz="4" w:space="0" w:color="D6DEE3"/>
          <w:left w:val="single" w:sz="4" w:space="0" w:color="D6DEE3"/>
          <w:bottom w:val="single" w:sz="4" w:space="0" w:color="D6DEE3"/>
          <w:right w:val="single" w:sz="4" w:space="0" w:color="D6DEE3"/>
          <w:insideH w:val="single" w:sz="4" w:space="0" w:color="D6DEE3"/>
          <w:insideV w:val="single" w:sz="4" w:space="0" w:color="D6DEE3"/>
        </w:tblBorders>
      </w:tblPr>
      <w:tblGrid>
        <w:gridCol w:w="2300"/>
        <w:gridCol w:w="7060"/>
      </w:tblGrid>
      <w:tr>
        <w:trPr>
          <w:cantSplit/>
          <w:tblHeader w:val="true"/>
        </w:trPr>
        <w:tc>
          <w:tcPr>
            <w:tcW w:type="dxa" w:w="2300"/>
            <w:tcMar>
              <w:top w:w="80" w:type="dxa"/>
              <w:bottom w:w="80" w:type="dxa"/>
              <w:start w:w="120" w:type="dxa"/>
              <w:end w:w="120" w:type="dxa"/>
            </w:tcMar>
            <w:vAlign w:val="center"/>
            <w:shd w:fill="246B67"/>
          </w:tcPr>
          <w:p>
            <w:pPr>
              <w:spacing w:before="0" w:after="0" w:line="259" w:lineRule="auto"/>
            </w:pPr>
            <w:r>
              <w:rPr>
                <w:rFonts w:ascii="Calibri" w:hAnsi="Calibri"/>
                <w:b/>
                <w:color w:val="FFFFFF"/>
                <w:sz w:val="18"/>
              </w:rPr>
              <w:t>Field</w:t>
            </w:r>
          </w:p>
        </w:tc>
        <w:tc>
          <w:tcPr>
            <w:tcW w:type="dxa" w:w="7060"/>
            <w:tcMar>
              <w:top w:w="80" w:type="dxa"/>
              <w:bottom w:w="80" w:type="dxa"/>
              <w:start w:w="120" w:type="dxa"/>
              <w:end w:w="120" w:type="dxa"/>
            </w:tcMar>
            <w:vAlign w:val="center"/>
            <w:shd w:fill="246B67"/>
          </w:tcPr>
          <w:p>
            <w:pPr>
              <w:spacing w:before="0" w:after="0" w:line="259" w:lineRule="auto"/>
            </w:pPr>
            <w:r>
              <w:rPr>
                <w:rFonts w:ascii="Calibri" w:hAnsi="Calibri"/>
                <w:b/>
                <w:color w:val="FFFFFF"/>
                <w:sz w:val="18"/>
              </w:rPr>
              <w:t>Verified fictional value</w:t>
            </w:r>
          </w:p>
        </w:tc>
      </w:tr>
      <w:tr>
        <w:trPr>
          <w:cantSplit/>
        </w:trPr>
        <w:tc>
          <w:tcPr>
            <w:tcW w:type="dxa" w:w="2300"/>
            <w:tcMar>
              <w:top w:w="80" w:type="dxa"/>
              <w:bottom w:w="80" w:type="dxa"/>
              <w:start w:w="120" w:type="dxa"/>
              <w:end w:w="120" w:type="dxa"/>
            </w:tcMar>
            <w:vAlign w:val="center"/>
          </w:tcPr>
          <w:p>
            <w:pPr>
              <w:spacing w:before="0" w:after="0" w:line="259" w:lineRule="auto"/>
            </w:pPr>
            <w:r>
              <w:rPr>
                <w:rFonts w:ascii="Calibri" w:hAnsi="Calibri"/>
                <w:color w:val="1F2937"/>
                <w:sz w:val="18"/>
              </w:rPr>
              <w:t>Business</w:t>
            </w:r>
          </w:p>
        </w:tc>
        <w:tc>
          <w:tcPr>
            <w:tcW w:type="dxa" w:w="7060"/>
            <w:tcMar>
              <w:top w:w="80" w:type="dxa"/>
              <w:bottom w:w="80" w:type="dxa"/>
              <w:start w:w="120" w:type="dxa"/>
              <w:end w:w="120" w:type="dxa"/>
            </w:tcMar>
            <w:vAlign w:val="center"/>
          </w:tcPr>
          <w:p>
            <w:pPr>
              <w:spacing w:before="0" w:after="0" w:line="259" w:lineRule="auto"/>
            </w:pPr>
            <w:r>
              <w:rPr>
                <w:rFonts w:ascii="Calibri" w:hAnsi="Calibri"/>
                <w:color w:val="1F2937"/>
                <w:sz w:val="18"/>
              </w:rPr>
              <w:t>Marlowe Street Books &amp; Paper</w:t>
            </w:r>
          </w:p>
        </w:tc>
      </w:tr>
      <w:tr>
        <w:trPr>
          <w:cantSplit/>
        </w:trPr>
        <w:tc>
          <w:tcPr>
            <w:tcW w:type="dxa" w:w="2300"/>
            <w:tcMar>
              <w:top w:w="80" w:type="dxa"/>
              <w:bottom w:w="80" w:type="dxa"/>
              <w:start w:w="120" w:type="dxa"/>
              <w:end w:w="120" w:type="dxa"/>
            </w:tcMar>
            <w:vAlign w:val="center"/>
            <w:shd w:fill="E8F4F1"/>
          </w:tcPr>
          <w:p>
            <w:pPr>
              <w:spacing w:before="0" w:after="0" w:line="259" w:lineRule="auto"/>
            </w:pPr>
            <w:r>
              <w:rPr>
                <w:rFonts w:ascii="Calibri" w:hAnsi="Calibri"/>
                <w:color w:val="1F2937"/>
                <w:sz w:val="18"/>
              </w:rPr>
              <w:t>Location</w:t>
            </w:r>
          </w:p>
        </w:tc>
        <w:tc>
          <w:tcPr>
            <w:tcW w:type="dxa" w:w="7060"/>
            <w:tcMar>
              <w:top w:w="80" w:type="dxa"/>
              <w:bottom w:w="80" w:type="dxa"/>
              <w:start w:w="120" w:type="dxa"/>
              <w:end w:w="120" w:type="dxa"/>
            </w:tcMar>
            <w:vAlign w:val="center"/>
            <w:shd w:fill="E8F4F1"/>
          </w:tcPr>
          <w:p>
            <w:pPr>
              <w:spacing w:before="0" w:after="0" w:line="259" w:lineRule="auto"/>
            </w:pPr>
            <w:r>
              <w:rPr>
                <w:rFonts w:ascii="Calibri" w:hAnsi="Calibri"/>
                <w:color w:val="1F2937"/>
                <w:sz w:val="18"/>
              </w:rPr>
              <w:t>Bellweather shop (fictional location)</w:t>
            </w:r>
          </w:p>
        </w:tc>
      </w:tr>
      <w:tr>
        <w:trPr>
          <w:cantSplit/>
        </w:trPr>
        <w:tc>
          <w:tcPr>
            <w:tcW w:type="dxa" w:w="2300"/>
            <w:tcMar>
              <w:top w:w="80" w:type="dxa"/>
              <w:bottom w:w="80" w:type="dxa"/>
              <w:start w:w="120" w:type="dxa"/>
              <w:end w:w="120" w:type="dxa"/>
            </w:tcMar>
            <w:vAlign w:val="center"/>
          </w:tcPr>
          <w:p>
            <w:pPr>
              <w:spacing w:before="0" w:after="0" w:line="259" w:lineRule="auto"/>
            </w:pPr>
            <w:r>
              <w:rPr>
                <w:rFonts w:ascii="Calibri" w:hAnsi="Calibri"/>
                <w:color w:val="1F2937"/>
                <w:sz w:val="18"/>
              </w:rPr>
              <w:t>Category</w:t>
            </w:r>
          </w:p>
        </w:tc>
        <w:tc>
          <w:tcPr>
            <w:tcW w:type="dxa" w:w="7060"/>
            <w:tcMar>
              <w:top w:w="80" w:type="dxa"/>
              <w:bottom w:w="80" w:type="dxa"/>
              <w:start w:w="120" w:type="dxa"/>
              <w:end w:w="120" w:type="dxa"/>
            </w:tcMar>
            <w:vAlign w:val="center"/>
          </w:tcPr>
          <w:p>
            <w:pPr>
              <w:spacing w:before="0" w:after="0" w:line="259" w:lineRule="auto"/>
            </w:pPr>
            <w:r>
              <w:rPr>
                <w:rFonts w:ascii="Calibri" w:hAnsi="Calibri"/>
                <w:color w:val="1F2937"/>
                <w:sz w:val="18"/>
              </w:rPr>
              <w:t>Independent bookstore and stationery shop</w:t>
            </w:r>
          </w:p>
        </w:tc>
      </w:tr>
      <w:tr>
        <w:trPr>
          <w:cantSplit/>
        </w:trPr>
        <w:tc>
          <w:tcPr>
            <w:tcW w:type="dxa" w:w="2300"/>
            <w:tcMar>
              <w:top w:w="80" w:type="dxa"/>
              <w:bottom w:w="80" w:type="dxa"/>
              <w:start w:w="120" w:type="dxa"/>
              <w:end w:w="120" w:type="dxa"/>
            </w:tcMar>
            <w:vAlign w:val="center"/>
            <w:shd w:fill="E8F4F1"/>
          </w:tcPr>
          <w:p>
            <w:pPr>
              <w:spacing w:before="0" w:after="0" w:line="259" w:lineRule="auto"/>
            </w:pPr>
            <w:r>
              <w:rPr>
                <w:rFonts w:ascii="Calibri" w:hAnsi="Calibri"/>
                <w:color w:val="1F2937"/>
                <w:sz w:val="18"/>
              </w:rPr>
              <w:t>Tone</w:t>
            </w:r>
          </w:p>
        </w:tc>
        <w:tc>
          <w:tcPr>
            <w:tcW w:type="dxa" w:w="7060"/>
            <w:tcMar>
              <w:top w:w="80" w:type="dxa"/>
              <w:bottom w:w="80" w:type="dxa"/>
              <w:start w:w="120" w:type="dxa"/>
              <w:end w:w="120" w:type="dxa"/>
            </w:tcMar>
            <w:vAlign w:val="center"/>
            <w:shd w:fill="E8F4F1"/>
          </w:tcPr>
          <w:p>
            <w:pPr>
              <w:spacing w:before="0" w:after="0" w:line="259" w:lineRule="auto"/>
            </w:pPr>
            <w:r>
              <w:rPr>
                <w:rFonts w:ascii="Calibri" w:hAnsi="Calibri"/>
                <w:color w:val="1F2937"/>
                <w:sz w:val="18"/>
              </w:rPr>
              <w:t>Warm, calm, concise, specific, and non-salesy; acknowledge the review without arguing or over-apologizing.</w:t>
            </w:r>
          </w:p>
        </w:tc>
      </w:tr>
      <w:tr>
        <w:trPr>
          <w:cantSplit/>
        </w:trPr>
        <w:tc>
          <w:tcPr>
            <w:tcW w:type="dxa" w:w="2300"/>
            <w:tcMar>
              <w:top w:w="80" w:type="dxa"/>
              <w:bottom w:w="80" w:type="dxa"/>
              <w:start w:w="120" w:type="dxa"/>
              <w:end w:w="120" w:type="dxa"/>
            </w:tcMar>
            <w:vAlign w:val="center"/>
          </w:tcPr>
          <w:p>
            <w:pPr>
              <w:spacing w:before="0" w:after="0" w:line="259" w:lineRule="auto"/>
            </w:pPr>
            <w:r>
              <w:rPr>
                <w:rFonts w:ascii="Calibri" w:hAnsi="Calibri"/>
                <w:color w:val="1F2937"/>
                <w:sz w:val="18"/>
              </w:rPr>
              <w:t>Signature</w:t>
            </w:r>
          </w:p>
        </w:tc>
        <w:tc>
          <w:tcPr>
            <w:tcW w:type="dxa" w:w="7060"/>
            <w:tcMar>
              <w:top w:w="80" w:type="dxa"/>
              <w:bottom w:w="80" w:type="dxa"/>
              <w:start w:w="120" w:type="dxa"/>
              <w:end w:w="120" w:type="dxa"/>
            </w:tcMar>
            <w:vAlign w:val="center"/>
          </w:tcPr>
          <w:p>
            <w:pPr>
              <w:spacing w:before="0" w:after="0" w:line="259" w:lineRule="auto"/>
            </w:pPr>
            <w:r>
              <w:rPr>
                <w:rFonts w:ascii="Calibri" w:hAnsi="Calibri"/>
                <w:color w:val="1F2937"/>
                <w:sz w:val="18"/>
              </w:rPr>
              <w:t>- The Marlowe Street Books &amp; Paper team</w:t>
            </w:r>
          </w:p>
        </w:tc>
      </w:tr>
      <w:tr>
        <w:trPr>
          <w:cantSplit/>
        </w:trPr>
        <w:tc>
          <w:tcPr>
            <w:tcW w:type="dxa" w:w="2300"/>
            <w:tcMar>
              <w:top w:w="80" w:type="dxa"/>
              <w:bottom w:w="80" w:type="dxa"/>
              <w:start w:w="120" w:type="dxa"/>
              <w:end w:w="120" w:type="dxa"/>
            </w:tcMar>
            <w:vAlign w:val="center"/>
            <w:shd w:fill="E8F4F1"/>
          </w:tcPr>
          <w:p>
            <w:pPr>
              <w:spacing w:before="0" w:after="0" w:line="259" w:lineRule="auto"/>
            </w:pPr>
            <w:r>
              <w:rPr>
                <w:rFonts w:ascii="Calibri" w:hAnsi="Calibri"/>
                <w:color w:val="1F2937"/>
                <w:sz w:val="18"/>
              </w:rPr>
              <w:t>Approved public contact</w:t>
            </w:r>
          </w:p>
        </w:tc>
        <w:tc>
          <w:tcPr>
            <w:tcW w:type="dxa" w:w="7060"/>
            <w:tcMar>
              <w:top w:w="80" w:type="dxa"/>
              <w:bottom w:w="80" w:type="dxa"/>
              <w:start w:w="120" w:type="dxa"/>
              <w:end w:w="120" w:type="dxa"/>
            </w:tcMar>
            <w:vAlign w:val="center"/>
            <w:shd w:fill="E8F4F1"/>
          </w:tcPr>
          <w:p>
            <w:pPr>
              <w:spacing w:before="0" w:after="0" w:line="259" w:lineRule="auto"/>
            </w:pPr>
            <w:r>
              <w:rPr>
                <w:rFonts w:ascii="Calibri" w:hAnsi="Calibri"/>
                <w:color w:val="1F2937"/>
                <w:sz w:val="18"/>
              </w:rPr>
              <w:t>hello@marlowestreetbooks.example</w:t>
            </w:r>
          </w:p>
        </w:tc>
      </w:tr>
      <w:tr>
        <w:trPr>
          <w:cantSplit/>
        </w:trPr>
        <w:tc>
          <w:tcPr>
            <w:tcW w:type="dxa" w:w="2300"/>
            <w:tcMar>
              <w:top w:w="80" w:type="dxa"/>
              <w:bottom w:w="80" w:type="dxa"/>
              <w:start w:w="120" w:type="dxa"/>
              <w:end w:w="120" w:type="dxa"/>
            </w:tcMar>
            <w:vAlign w:val="center"/>
          </w:tcPr>
          <w:p>
            <w:pPr>
              <w:spacing w:before="0" w:after="0" w:line="259" w:lineRule="auto"/>
            </w:pPr>
            <w:r>
              <w:rPr>
                <w:rFonts w:ascii="Calibri" w:hAnsi="Calibri"/>
                <w:color w:val="1F2937"/>
                <w:sz w:val="18"/>
              </w:rPr>
              <w:t>Source</w:t>
            </w:r>
          </w:p>
        </w:tc>
        <w:tc>
          <w:tcPr>
            <w:tcW w:type="dxa" w:w="7060"/>
            <w:tcMar>
              <w:top w:w="80" w:type="dxa"/>
              <w:bottom w:w="80" w:type="dxa"/>
              <w:start w:w="120" w:type="dxa"/>
              <w:end w:w="120" w:type="dxa"/>
            </w:tcMar>
            <w:vAlign w:val="center"/>
          </w:tcPr>
          <w:p>
            <w:pPr>
              <w:spacing w:before="0" w:after="0" w:line="259" w:lineRule="auto"/>
            </w:pPr>
            <w:r>
              <w:rPr>
                <w:rFonts w:ascii="Calibri" w:hAnsi="Calibri"/>
                <w:color w:val="1F2937"/>
                <w:sz w:val="18"/>
              </w:rPr>
              <w:t>Fictional owner-supplied fact sheet dated 2026-08-17</w:t>
            </w:r>
          </w:p>
        </w:tc>
      </w:tr>
    </w:tbl>
    <w:p>
      <w:pPr>
        <w:pStyle w:val="Heading1"/>
      </w:pPr>
      <w:r>
        <w:t>Non-negotiable response boundaries</w:t>
      </w:r>
    </w:p>
    <w:p>
      <w:pPr>
        <w:pStyle w:val="BodyList"/>
        <w:numPr>
          <w:ilvl w:val="0"/>
          <w:numId w:val="10"/>
        </w:numPr>
      </w:pPr>
      <w:r>
        <w:rPr>
          <w:rFonts w:ascii="Calibri" w:hAnsi="Calibri"/>
          <w:color w:val="1F2937"/>
          <w:sz w:val="22"/>
        </w:rPr>
        <w:t>Use only the supplied review observation and verified fictional business facts.</w:t>
      </w:r>
    </w:p>
    <w:p>
      <w:pPr>
        <w:pStyle w:val="BodyList"/>
        <w:numPr>
          <w:ilvl w:val="0"/>
          <w:numId w:val="10"/>
        </w:numPr>
      </w:pPr>
      <w:r>
        <w:rPr>
          <w:rFonts w:ascii="Calibri" w:hAnsi="Calibri"/>
          <w:color w:val="1F2937"/>
          <w:sz w:val="22"/>
        </w:rPr>
        <w:t>Do not invent a resolution, investigation, refund, contact attempt, policy, employee action, time frame, or promise.</w:t>
      </w:r>
    </w:p>
    <w:p>
      <w:pPr>
        <w:pStyle w:val="BodyList"/>
        <w:numPr>
          <w:ilvl w:val="0"/>
          <w:numId w:val="10"/>
        </w:numPr>
      </w:pPr>
      <w:r>
        <w:rPr>
          <w:rFonts w:ascii="Calibri" w:hAnsi="Calibri"/>
          <w:color w:val="1F2937"/>
          <w:sz w:val="22"/>
        </w:rPr>
        <w:t>Do not admit liability, threaten, accuse, expose personal or confidential information, or repeat transactional details in public.</w:t>
      </w:r>
    </w:p>
    <w:p>
      <w:pPr>
        <w:pStyle w:val="BodyList"/>
        <w:numPr>
          <w:ilvl w:val="0"/>
          <w:numId w:val="10"/>
        </w:numPr>
      </w:pPr>
      <w:r>
        <w:rPr>
          <w:rFonts w:ascii="Calibri" w:hAnsi="Calibri"/>
          <w:color w:val="1F2937"/>
          <w:sz w:val="22"/>
        </w:rPr>
        <w:t>Do not ask for a review edit, removal, or rating change; do not offer incentives or manipulate ratings.</w:t>
      </w:r>
    </w:p>
    <w:p>
      <w:pPr>
        <w:pStyle w:val="BodyList"/>
        <w:numPr>
          <w:ilvl w:val="0"/>
          <w:numId w:val="10"/>
        </w:numPr>
      </w:pPr>
      <w:r>
        <w:rPr>
          <w:rFonts w:ascii="Calibri" w:hAnsi="Calibri"/>
          <w:color w:val="1F2937"/>
          <w:sz w:val="22"/>
        </w:rPr>
        <w:t>Use the approved .example contact route only for E2 cases and request only the minimum private context.</w:t>
      </w:r>
    </w:p>
    <w:p>
      <w:pPr>
        <w:pStyle w:val="BodyList"/>
        <w:numPr>
          <w:ilvl w:val="0"/>
          <w:numId w:val="10"/>
        </w:numPr>
      </w:pPr>
      <w:r>
        <w:rPr>
          <w:rFonts w:ascii="Calibri" w:hAnsi="Calibri"/>
          <w:color w:val="1F2937"/>
          <w:sz w:val="22"/>
        </w:rPr>
        <w:t>Every draft remains subject to buyer approval before manual publication.</w:t>
      </w:r>
    </w:p>
    <w:p>
      <w:pPr>
        <w:spacing w:before="0" w:after="0"/>
      </w:pPr>
      <w:r>
        <w:br w:type="page"/>
      </w:r>
    </w:p>
    <w:p>
      <w:pPr>
        <w:pStyle w:val="Kicker"/>
      </w:pPr>
      <w:r>
        <w:t>BATCH CONTROL</w:t>
      </w:r>
    </w:p>
    <w:p>
      <w:pPr>
        <w:pStyle w:val="Heading1"/>
      </w:pPr>
      <w:r>
        <w:t>Escalation and issue overview</w:t>
      </w:r>
    </w:p>
    <w:tbl>
      <w:tblPr>
        <w:tblW w:type="dxa" w:w="9360"/>
        <w:tblLayout w:type="fixed"/>
        <w:tblLook w:firstColumn="1" w:firstRow="1" w:lastColumn="0" w:lastRow="0" w:noHBand="0" w:noVBand="1" w:val="04A0"/>
        <w:tblInd w:w="120" w:type="dxa"/>
        <w:tblBorders>
          <w:top w:val="single" w:sz="4" w:space="0" w:color="D6DEE3"/>
          <w:left w:val="single" w:sz="4" w:space="0" w:color="D6DEE3"/>
          <w:bottom w:val="single" w:sz="4" w:space="0" w:color="D6DEE3"/>
          <w:right w:val="single" w:sz="4" w:space="0" w:color="D6DEE3"/>
          <w:insideH w:val="single" w:sz="4" w:space="0" w:color="D6DEE3"/>
          <w:insideV w:val="single" w:sz="4" w:space="0" w:color="D6DEE3"/>
        </w:tblBorders>
      </w:tblPr>
      <w:tblGrid>
        <w:gridCol w:w="800"/>
        <w:gridCol w:w="2100"/>
        <w:gridCol w:w="1900"/>
        <w:gridCol w:w="2900"/>
        <w:gridCol w:w="1660"/>
      </w:tblGrid>
      <w:tr>
        <w:trPr>
          <w:cantSplit/>
          <w:tblHeader w:val="true"/>
        </w:trPr>
        <w:tc>
          <w:tcPr>
            <w:tcW w:type="dxa" w:w="800"/>
            <w:tcMar>
              <w:top w:w="80" w:type="dxa"/>
              <w:bottom w:w="80" w:type="dxa"/>
              <w:start w:w="120" w:type="dxa"/>
              <w:end w:w="120" w:type="dxa"/>
            </w:tcMar>
            <w:vAlign w:val="center"/>
            <w:shd w:fill="246B67"/>
          </w:tcPr>
          <w:p>
            <w:pPr>
              <w:spacing w:before="0" w:after="0" w:line="259" w:lineRule="auto"/>
            </w:pPr>
            <w:r>
              <w:rPr>
                <w:rFonts w:ascii="Calibri" w:hAnsi="Calibri"/>
                <w:b/>
                <w:color w:val="FFFFFF"/>
                <w:sz w:val="16"/>
              </w:rPr>
              <w:t>Tier</w:t>
            </w:r>
          </w:p>
        </w:tc>
        <w:tc>
          <w:tcPr>
            <w:tcW w:type="dxa" w:w="2100"/>
            <w:tcMar>
              <w:top w:w="80" w:type="dxa"/>
              <w:bottom w:w="80" w:type="dxa"/>
              <w:start w:w="120" w:type="dxa"/>
              <w:end w:w="120" w:type="dxa"/>
            </w:tcMar>
            <w:vAlign w:val="center"/>
            <w:shd w:fill="246B67"/>
          </w:tcPr>
          <w:p>
            <w:pPr>
              <w:spacing w:before="0" w:after="0" w:line="259" w:lineRule="auto"/>
            </w:pPr>
            <w:r>
              <w:rPr>
                <w:rFonts w:ascii="Calibri" w:hAnsi="Calibri"/>
                <w:b/>
                <w:color w:val="FFFFFF"/>
                <w:sz w:val="16"/>
              </w:rPr>
              <w:t>Use when</w:t>
            </w:r>
          </w:p>
        </w:tc>
        <w:tc>
          <w:tcPr>
            <w:tcW w:type="dxa" w:w="1900"/>
            <w:tcMar>
              <w:top w:w="80" w:type="dxa"/>
              <w:bottom w:w="80" w:type="dxa"/>
              <w:start w:w="120" w:type="dxa"/>
              <w:end w:w="120" w:type="dxa"/>
            </w:tcMar>
            <w:vAlign w:val="center"/>
            <w:shd w:fill="246B67"/>
          </w:tcPr>
          <w:p>
            <w:pPr>
              <w:spacing w:before="0" w:after="0" w:line="259" w:lineRule="auto"/>
            </w:pPr>
            <w:r>
              <w:rPr>
                <w:rFonts w:ascii="Calibri" w:hAnsi="Calibri"/>
                <w:b/>
                <w:color w:val="FFFFFF"/>
                <w:sz w:val="16"/>
              </w:rPr>
              <w:t>Owner action</w:t>
            </w:r>
          </w:p>
        </w:tc>
        <w:tc>
          <w:tcPr>
            <w:tcW w:type="dxa" w:w="2900"/>
            <w:tcMar>
              <w:top w:w="80" w:type="dxa"/>
              <w:bottom w:w="80" w:type="dxa"/>
              <w:start w:w="120" w:type="dxa"/>
              <w:end w:w="120" w:type="dxa"/>
            </w:tcMar>
            <w:vAlign w:val="center"/>
            <w:shd w:fill="246B67"/>
          </w:tcPr>
          <w:p>
            <w:pPr>
              <w:spacing w:before="0" w:after="0" w:line="259" w:lineRule="auto"/>
            </w:pPr>
            <w:r>
              <w:rPr>
                <w:rFonts w:ascii="Calibri" w:hAnsi="Calibri"/>
                <w:b/>
                <w:color w:val="FFFFFF"/>
                <w:sz w:val="16"/>
              </w:rPr>
              <w:t>Public draft rule</w:t>
            </w:r>
          </w:p>
        </w:tc>
        <w:tc>
          <w:tcPr>
            <w:tcW w:type="dxa" w:w="1660"/>
            <w:tcMar>
              <w:top w:w="80" w:type="dxa"/>
              <w:bottom w:w="80" w:type="dxa"/>
              <w:start w:w="120" w:type="dxa"/>
              <w:end w:w="120" w:type="dxa"/>
            </w:tcMar>
            <w:vAlign w:val="center"/>
            <w:shd w:fill="246B67"/>
          </w:tcPr>
          <w:p>
            <w:pPr>
              <w:spacing w:before="0" w:after="0" w:line="259" w:lineRule="auto"/>
            </w:pPr>
            <w:r>
              <w:rPr>
                <w:rFonts w:ascii="Calibri" w:hAnsi="Calibri"/>
                <w:b/>
                <w:color w:val="FFFFFF"/>
                <w:sz w:val="16"/>
              </w:rPr>
              <w:t>Disposition</w:t>
            </w:r>
          </w:p>
        </w:tc>
      </w:tr>
      <w:tr>
        <w:trPr>
          <w:cantSplit/>
        </w:trPr>
        <w:tc>
          <w:tcPr>
            <w:tcW w:type="dxa" w:w="8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E0</w:t>
            </w:r>
          </w:p>
        </w:tc>
        <w:tc>
          <w:tcPr>
            <w:tcW w:type="dxa" w:w="2100"/>
            <w:tcMar>
              <w:top w:w="80" w:type="dxa"/>
              <w:bottom w:w="80" w:type="dxa"/>
              <w:start w:w="120" w:type="dxa"/>
              <w:end w:w="120" w:type="dxa"/>
            </w:tcMar>
            <w:vAlign w:val="center"/>
          </w:tcPr>
          <w:p>
            <w:pPr>
              <w:spacing w:before="0" w:after="0" w:line="259" w:lineRule="auto"/>
            </w:pPr>
            <w:r>
              <w:rPr>
                <w:rFonts w:ascii="Calibri" w:hAnsi="Calibri"/>
                <w:color w:val="1F2937"/>
                <w:sz w:val="16"/>
              </w:rPr>
              <w:t>Routine response; no indicated follow-up</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Normal buyer review</w:t>
            </w:r>
          </w:p>
        </w:tc>
        <w:tc>
          <w:tcPr>
            <w:tcW w:type="dxa" w:w="2900"/>
            <w:tcMar>
              <w:top w:w="80" w:type="dxa"/>
              <w:bottom w:w="80" w:type="dxa"/>
              <w:start w:w="120" w:type="dxa"/>
              <w:end w:w="120" w:type="dxa"/>
            </w:tcMar>
            <w:vAlign w:val="center"/>
          </w:tcPr>
          <w:p>
            <w:pPr>
              <w:spacing w:before="0" w:after="0" w:line="259" w:lineRule="auto"/>
            </w:pPr>
            <w:r>
              <w:rPr>
                <w:rFonts w:ascii="Calibri" w:hAnsi="Calibri"/>
                <w:color w:val="1F2937"/>
                <w:sz w:val="16"/>
              </w:rPr>
              <w:t>Specific acknowledgment; sourced facts only</w:t>
            </w:r>
          </w:p>
        </w:tc>
        <w:tc>
          <w:tcPr>
            <w:tcW w:type="dxa" w:w="1660"/>
            <w:tcMar>
              <w:top w:w="80" w:type="dxa"/>
              <w:bottom w:w="80" w:type="dxa"/>
              <w:start w:w="120" w:type="dxa"/>
              <w:end w:w="120" w:type="dxa"/>
            </w:tcMar>
            <w:vAlign w:val="center"/>
          </w:tcPr>
          <w:p>
            <w:pPr>
              <w:spacing w:before="0" w:after="0" w:line="259" w:lineRule="auto"/>
            </w:pPr>
            <w:r>
              <w:rPr>
                <w:rFonts w:ascii="Calibri" w:hAnsi="Calibri"/>
                <w:color w:val="1F2937"/>
                <w:sz w:val="16"/>
              </w:rPr>
              <w:t>READY FOR BUYER REVIEW</w:t>
            </w:r>
          </w:p>
        </w:tc>
      </w:tr>
      <w:tr>
        <w:trPr>
          <w:cantSplit/>
        </w:trPr>
        <w:tc>
          <w:tcPr>
            <w:tcW w:type="dxa" w:w="800"/>
            <w:tcMar>
              <w:top w:w="80" w:type="dxa"/>
              <w:bottom w:w="80" w:type="dxa"/>
              <w:start w:w="120" w:type="dxa"/>
              <w:end w:w="120" w:type="dxa"/>
            </w:tcMar>
            <w:vAlign w:val="center"/>
            <w:shd w:fill="FFF1D6"/>
          </w:tcPr>
          <w:p>
            <w:pPr>
              <w:spacing w:before="0" w:after="0" w:line="259" w:lineRule="auto"/>
            </w:pPr>
            <w:r>
              <w:rPr>
                <w:rFonts w:ascii="Calibri" w:hAnsi="Calibri"/>
                <w:color w:val="1F2937"/>
                <w:sz w:val="16"/>
              </w:rPr>
              <w:t>E1</w:t>
            </w:r>
          </w:p>
        </w:tc>
        <w:tc>
          <w:tcPr>
            <w:tcW w:type="dxa" w:w="21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Owner awareness recommended</w:t>
            </w:r>
          </w:p>
        </w:tc>
        <w:tc>
          <w:tcPr>
            <w:tcW w:type="dxa" w:w="19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Owner awareness before approval</w:t>
            </w:r>
          </w:p>
        </w:tc>
        <w:tc>
          <w:tcPr>
            <w:tcW w:type="dxa" w:w="29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No change or outcome promise</w:t>
            </w:r>
          </w:p>
        </w:tc>
        <w:tc>
          <w:tcPr>
            <w:tcW w:type="dxa" w:w="166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READY AFTER OWNER AWARENESS</w:t>
            </w:r>
          </w:p>
        </w:tc>
      </w:tr>
      <w:tr>
        <w:trPr>
          <w:cantSplit/>
        </w:trPr>
        <w:tc>
          <w:tcPr>
            <w:tcW w:type="dxa" w:w="800"/>
            <w:tcMar>
              <w:top w:w="80" w:type="dxa"/>
              <w:bottom w:w="80" w:type="dxa"/>
              <w:start w:w="120" w:type="dxa"/>
              <w:end w:w="120" w:type="dxa"/>
            </w:tcMar>
            <w:vAlign w:val="center"/>
            <w:shd w:fill="FFF1D6"/>
          </w:tcPr>
          <w:p>
            <w:pPr>
              <w:spacing w:before="0" w:after="0" w:line="259" w:lineRule="auto"/>
            </w:pPr>
            <w:r>
              <w:rPr>
                <w:rFonts w:ascii="Calibri" w:hAnsi="Calibri"/>
                <w:color w:val="1F2937"/>
                <w:sz w:val="16"/>
              </w:rPr>
              <w:t>E2</w:t>
            </w:r>
          </w:p>
        </w:tc>
        <w:tc>
          <w:tcPr>
            <w:tcW w:type="dxa" w:w="2100"/>
            <w:tcMar>
              <w:top w:w="80" w:type="dxa"/>
              <w:bottom w:w="80" w:type="dxa"/>
              <w:start w:w="120" w:type="dxa"/>
              <w:end w:w="120" w:type="dxa"/>
            </w:tcMar>
            <w:vAlign w:val="center"/>
          </w:tcPr>
          <w:p>
            <w:pPr>
              <w:spacing w:before="0" w:after="0" w:line="259" w:lineRule="auto"/>
            </w:pPr>
            <w:r>
              <w:rPr>
                <w:rFonts w:ascii="Calibri" w:hAnsi="Calibri"/>
                <w:color w:val="1F2937"/>
                <w:sz w:val="16"/>
              </w:rPr>
              <w:t>Private owner follow-up appropriate</w:t>
            </w:r>
          </w:p>
        </w:tc>
        <w:tc>
          <w:tcPr>
            <w:tcW w:type="dxa" w:w="1900"/>
            <w:tcMar>
              <w:top w:w="80" w:type="dxa"/>
              <w:bottom w:w="80" w:type="dxa"/>
              <w:start w:w="120" w:type="dxa"/>
              <w:end w:w="120" w:type="dxa"/>
            </w:tcMar>
            <w:vAlign w:val="center"/>
          </w:tcPr>
          <w:p>
            <w:pPr>
              <w:spacing w:before="0" w:after="0" w:line="259" w:lineRule="auto"/>
            </w:pPr>
            <w:r>
              <w:rPr>
                <w:rFonts w:ascii="Calibri" w:hAnsi="Calibri"/>
                <w:color w:val="1F2937"/>
                <w:sz w:val="16"/>
              </w:rPr>
              <w:t>Manager review before publication</w:t>
            </w:r>
          </w:p>
        </w:tc>
        <w:tc>
          <w:tcPr>
            <w:tcW w:type="dxa" w:w="2900"/>
            <w:tcMar>
              <w:top w:w="80" w:type="dxa"/>
              <w:bottom w:w="80" w:type="dxa"/>
              <w:start w:w="120" w:type="dxa"/>
              <w:end w:w="120" w:type="dxa"/>
            </w:tcMar>
            <w:vAlign w:val="center"/>
          </w:tcPr>
          <w:p>
            <w:pPr>
              <w:spacing w:before="0" w:after="0" w:line="259" w:lineRule="auto"/>
            </w:pPr>
            <w:r>
              <w:rPr>
                <w:rFonts w:ascii="Calibri" w:hAnsi="Calibri"/>
                <w:color w:val="1F2937"/>
                <w:sz w:val="16"/>
              </w:rPr>
              <w:t>Approved contact only; no admission or remedy promise</w:t>
            </w:r>
          </w:p>
        </w:tc>
        <w:tc>
          <w:tcPr>
            <w:tcW w:type="dxa" w:w="1660"/>
            <w:tcMar>
              <w:top w:w="80" w:type="dxa"/>
              <w:bottom w:w="80" w:type="dxa"/>
              <w:start w:w="120" w:type="dxa"/>
              <w:end w:w="120" w:type="dxa"/>
            </w:tcMar>
            <w:vAlign w:val="center"/>
          </w:tcPr>
          <w:p>
            <w:pPr>
              <w:spacing w:before="0" w:after="0" w:line="259" w:lineRule="auto"/>
            </w:pPr>
            <w:r>
              <w:rPr>
                <w:rFonts w:ascii="Calibri" w:hAnsi="Calibri"/>
                <w:color w:val="1F2937"/>
                <w:sz w:val="16"/>
              </w:rPr>
              <w:t>HOLD FOR OWNER REVIEW</w:t>
            </w:r>
          </w:p>
        </w:tc>
      </w:tr>
    </w:tbl>
    <w:p>
      <w:pPr>
        <w:pStyle w:val="Heading2"/>
      </w:pPr>
      <w:r>
        <w:t>Issue mix</w:t>
      </w:r>
    </w:p>
    <w:tbl>
      <w:tblPr>
        <w:tblW w:type="dxa" w:w="9360"/>
        <w:tblLayout w:type="fixed"/>
        <w:tblLook w:firstColumn="1" w:firstRow="1" w:lastColumn="0" w:lastRow="0" w:noHBand="0" w:noVBand="1" w:val="04A0"/>
        <w:tblInd w:w="120" w:type="dxa"/>
        <w:tblBorders>
          <w:top w:val="single" w:sz="4" w:space="0" w:color="D6DEE3"/>
          <w:left w:val="single" w:sz="4" w:space="0" w:color="D6DEE3"/>
          <w:bottom w:val="single" w:sz="4" w:space="0" w:color="D6DEE3"/>
          <w:right w:val="single" w:sz="4" w:space="0" w:color="D6DEE3"/>
          <w:insideH w:val="single" w:sz="4" w:space="0" w:color="D6DEE3"/>
          <w:insideV w:val="single" w:sz="4" w:space="0" w:color="D6DEE3"/>
        </w:tblBorders>
      </w:tblPr>
      <w:tblGrid>
        <w:gridCol w:w="2500"/>
        <w:gridCol w:w="1000"/>
        <w:gridCol w:w="5860"/>
      </w:tblGrid>
      <w:tr>
        <w:trPr>
          <w:cantSplit/>
          <w:tblHeader w:val="true"/>
        </w:trPr>
        <w:tc>
          <w:tcPr>
            <w:tcW w:type="dxa" w:w="2500"/>
            <w:tcMar>
              <w:top w:w="80" w:type="dxa"/>
              <w:bottom w:w="80" w:type="dxa"/>
              <w:start w:w="120" w:type="dxa"/>
              <w:end w:w="120" w:type="dxa"/>
            </w:tcMar>
            <w:vAlign w:val="center"/>
            <w:shd w:fill="246B67"/>
          </w:tcPr>
          <w:p>
            <w:pPr>
              <w:spacing w:before="0" w:after="0" w:line="259" w:lineRule="auto"/>
            </w:pPr>
            <w:r>
              <w:rPr>
                <w:rFonts w:ascii="Calibri" w:hAnsi="Calibri"/>
                <w:b/>
                <w:color w:val="FFFFFF"/>
                <w:sz w:val="17"/>
              </w:rPr>
              <w:t>Issue tag</w:t>
            </w:r>
          </w:p>
        </w:tc>
        <w:tc>
          <w:tcPr>
            <w:tcW w:type="dxa" w:w="1000"/>
            <w:tcMar>
              <w:top w:w="80" w:type="dxa"/>
              <w:bottom w:w="80" w:type="dxa"/>
              <w:start w:w="120" w:type="dxa"/>
              <w:end w:w="120" w:type="dxa"/>
            </w:tcMar>
            <w:vAlign w:val="center"/>
            <w:shd w:fill="246B67"/>
          </w:tcPr>
          <w:p>
            <w:pPr>
              <w:spacing w:before="0" w:after="0" w:line="259" w:lineRule="auto"/>
            </w:pPr>
            <w:r>
              <w:rPr>
                <w:rFonts w:ascii="Calibri" w:hAnsi="Calibri"/>
                <w:b/>
                <w:color w:val="FFFFFF"/>
                <w:sz w:val="17"/>
              </w:rPr>
              <w:t>Count</w:t>
            </w:r>
          </w:p>
        </w:tc>
        <w:tc>
          <w:tcPr>
            <w:tcW w:type="dxa" w:w="5860"/>
            <w:tcMar>
              <w:top w:w="80" w:type="dxa"/>
              <w:bottom w:w="80" w:type="dxa"/>
              <w:start w:w="120" w:type="dxa"/>
              <w:end w:w="120" w:type="dxa"/>
            </w:tcMar>
            <w:vAlign w:val="center"/>
            <w:shd w:fill="246B67"/>
          </w:tcPr>
          <w:p>
            <w:pPr>
              <w:spacing w:before="0" w:after="0" w:line="259" w:lineRule="auto"/>
            </w:pPr>
            <w:r>
              <w:rPr>
                <w:rFonts w:ascii="Calibri" w:hAnsi="Calibri"/>
                <w:b/>
                <w:color w:val="FFFFFF"/>
                <w:sz w:val="17"/>
              </w:rPr>
              <w:t>Interpretation</w:t>
            </w:r>
          </w:p>
        </w:tc>
      </w:tr>
      <w:tr>
        <w:trPr>
          <w:cantSplit/>
        </w:trPr>
        <w:tc>
          <w:tcPr>
            <w:tcW w:type="dxa" w:w="2500"/>
            <w:tcMar>
              <w:top w:w="80" w:type="dxa"/>
              <w:bottom w:w="80" w:type="dxa"/>
              <w:start w:w="120" w:type="dxa"/>
              <w:end w:w="120" w:type="dxa"/>
            </w:tcMar>
            <w:vAlign w:val="center"/>
          </w:tcPr>
          <w:p>
            <w:pPr>
              <w:spacing w:before="0" w:after="0" w:line="259" w:lineRule="auto"/>
            </w:pPr>
            <w:r>
              <w:rPr>
                <w:rFonts w:ascii="Calibri" w:hAnsi="Calibri"/>
                <w:color w:val="1F2937"/>
                <w:sz w:val="17"/>
              </w:rPr>
              <w:t>PRAISE</w:t>
            </w:r>
          </w:p>
        </w:tc>
        <w:tc>
          <w:tcPr>
            <w:tcW w:type="dxa" w:w="1000"/>
            <w:tcMar>
              <w:top w:w="80" w:type="dxa"/>
              <w:bottom w:w="80" w:type="dxa"/>
              <w:start w:w="120" w:type="dxa"/>
              <w:end w:w="120" w:type="dxa"/>
            </w:tcMar>
            <w:vAlign w:val="center"/>
          </w:tcPr>
          <w:p>
            <w:pPr>
              <w:spacing w:before="0" w:after="0" w:line="259" w:lineRule="auto"/>
            </w:pPr>
            <w:r>
              <w:rPr>
                <w:rFonts w:ascii="Calibri" w:hAnsi="Calibri"/>
                <w:color w:val="1F2937"/>
                <w:sz w:val="17"/>
              </w:rPr>
              <w:t>10</w:t>
            </w:r>
          </w:p>
        </w:tc>
        <w:tc>
          <w:tcPr>
            <w:tcW w:type="dxa" w:w="5860"/>
            <w:tcMar>
              <w:top w:w="80" w:type="dxa"/>
              <w:bottom w:w="80" w:type="dxa"/>
              <w:start w:w="120" w:type="dxa"/>
              <w:end w:w="120" w:type="dxa"/>
            </w:tcMar>
            <w:vAlign w:val="center"/>
          </w:tcPr>
          <w:p>
            <w:pPr>
              <w:spacing w:before="0" w:after="0" w:line="259" w:lineRule="auto"/>
            </w:pPr>
            <w:r>
              <w:rPr>
                <w:rFonts w:ascii="Calibri" w:hAnsi="Calibri"/>
                <w:color w:val="1F2937"/>
                <w:sz w:val="17"/>
              </w:rPr>
              <w:t>Positive feedback or appreciation</w:t>
            </w:r>
          </w:p>
        </w:tc>
      </w:tr>
      <w:tr>
        <w:trPr>
          <w:cantSplit/>
        </w:trPr>
        <w:tc>
          <w:tcPr>
            <w:tcW w:type="dxa" w:w="2500"/>
            <w:tcMar>
              <w:top w:w="80" w:type="dxa"/>
              <w:bottom w:w="80" w:type="dxa"/>
              <w:start w:w="120" w:type="dxa"/>
              <w:end w:w="120" w:type="dxa"/>
            </w:tcMar>
            <w:vAlign w:val="center"/>
            <w:shd w:fill="E8F4F1"/>
          </w:tcPr>
          <w:p>
            <w:pPr>
              <w:spacing w:before="0" w:after="0" w:line="259" w:lineRule="auto"/>
            </w:pPr>
            <w:r>
              <w:rPr>
                <w:rFonts w:ascii="Calibri" w:hAnsi="Calibri"/>
                <w:color w:val="1F2937"/>
                <w:sz w:val="17"/>
              </w:rPr>
              <w:t>STAFF</w:t>
            </w:r>
          </w:p>
        </w:tc>
        <w:tc>
          <w:tcPr>
            <w:tcW w:type="dxa" w:w="1000"/>
            <w:tcMar>
              <w:top w:w="80" w:type="dxa"/>
              <w:bottom w:w="80" w:type="dxa"/>
              <w:start w:w="120" w:type="dxa"/>
              <w:end w:w="120" w:type="dxa"/>
            </w:tcMar>
            <w:vAlign w:val="center"/>
            <w:shd w:fill="E8F4F1"/>
          </w:tcPr>
          <w:p>
            <w:pPr>
              <w:spacing w:before="0" w:after="0" w:line="259" w:lineRule="auto"/>
            </w:pPr>
            <w:r>
              <w:rPr>
                <w:rFonts w:ascii="Calibri" w:hAnsi="Calibri"/>
                <w:color w:val="1F2937"/>
                <w:sz w:val="17"/>
              </w:rPr>
              <w:t>7</w:t>
            </w:r>
          </w:p>
        </w:tc>
        <w:tc>
          <w:tcPr>
            <w:tcW w:type="dxa" w:w="5860"/>
            <w:tcMar>
              <w:top w:w="80" w:type="dxa"/>
              <w:bottom w:w="80" w:type="dxa"/>
              <w:start w:w="120" w:type="dxa"/>
              <w:end w:w="120" w:type="dxa"/>
            </w:tcMar>
            <w:vAlign w:val="center"/>
            <w:shd w:fill="E8F4F1"/>
          </w:tcPr>
          <w:p>
            <w:pPr>
              <w:spacing w:before="0" w:after="0" w:line="259" w:lineRule="auto"/>
            </w:pPr>
            <w:r>
              <w:rPr>
                <w:rFonts w:ascii="Calibri" w:hAnsi="Calibri"/>
                <w:color w:val="1F2937"/>
                <w:sz w:val="17"/>
              </w:rPr>
              <w:t>Staff interaction or tone</w:t>
            </w:r>
          </w:p>
        </w:tc>
      </w:tr>
      <w:tr>
        <w:trPr>
          <w:cantSplit/>
        </w:trPr>
        <w:tc>
          <w:tcPr>
            <w:tcW w:type="dxa" w:w="2500"/>
            <w:tcMar>
              <w:top w:w="80" w:type="dxa"/>
              <w:bottom w:w="80" w:type="dxa"/>
              <w:start w:w="120" w:type="dxa"/>
              <w:end w:w="120" w:type="dxa"/>
            </w:tcMar>
            <w:vAlign w:val="center"/>
          </w:tcPr>
          <w:p>
            <w:pPr>
              <w:spacing w:before="0" w:after="0" w:line="259" w:lineRule="auto"/>
            </w:pPr>
            <w:r>
              <w:rPr>
                <w:rFonts w:ascii="Calibri" w:hAnsi="Calibri"/>
                <w:color w:val="1F2937"/>
                <w:sz w:val="17"/>
              </w:rPr>
              <w:t>SPEED_WAIT</w:t>
            </w:r>
          </w:p>
        </w:tc>
        <w:tc>
          <w:tcPr>
            <w:tcW w:type="dxa" w:w="1000"/>
            <w:tcMar>
              <w:top w:w="80" w:type="dxa"/>
              <w:bottom w:w="80" w:type="dxa"/>
              <w:start w:w="120" w:type="dxa"/>
              <w:end w:w="120" w:type="dxa"/>
            </w:tcMar>
            <w:vAlign w:val="center"/>
          </w:tcPr>
          <w:p>
            <w:pPr>
              <w:spacing w:before="0" w:after="0" w:line="259" w:lineRule="auto"/>
            </w:pPr>
            <w:r>
              <w:rPr>
                <w:rFonts w:ascii="Calibri" w:hAnsi="Calibri"/>
                <w:color w:val="1F2937"/>
                <w:sz w:val="17"/>
              </w:rPr>
              <w:t>5</w:t>
            </w:r>
          </w:p>
        </w:tc>
        <w:tc>
          <w:tcPr>
            <w:tcW w:type="dxa" w:w="5860"/>
            <w:tcMar>
              <w:top w:w="80" w:type="dxa"/>
              <w:bottom w:w="80" w:type="dxa"/>
              <w:start w:w="120" w:type="dxa"/>
              <w:end w:w="120" w:type="dxa"/>
            </w:tcMar>
            <w:vAlign w:val="center"/>
          </w:tcPr>
          <w:p>
            <w:pPr>
              <w:spacing w:before="0" w:after="0" w:line="259" w:lineRule="auto"/>
            </w:pPr>
            <w:r>
              <w:rPr>
                <w:rFonts w:ascii="Calibri" w:hAnsi="Calibri"/>
                <w:color w:val="1F2937"/>
                <w:sz w:val="17"/>
              </w:rPr>
              <w:t>Queue, timing, delay, or wait</w:t>
            </w:r>
          </w:p>
        </w:tc>
      </w:tr>
      <w:tr>
        <w:trPr>
          <w:cantSplit/>
        </w:trPr>
        <w:tc>
          <w:tcPr>
            <w:tcW w:type="dxa" w:w="2500"/>
            <w:tcMar>
              <w:top w:w="80" w:type="dxa"/>
              <w:bottom w:w="80" w:type="dxa"/>
              <w:start w:w="120" w:type="dxa"/>
              <w:end w:w="120" w:type="dxa"/>
            </w:tcMar>
            <w:vAlign w:val="center"/>
            <w:shd w:fill="E8F4F1"/>
          </w:tcPr>
          <w:p>
            <w:pPr>
              <w:spacing w:before="0" w:after="0" w:line="259" w:lineRule="auto"/>
            </w:pPr>
            <w:r>
              <w:rPr>
                <w:rFonts w:ascii="Calibri" w:hAnsi="Calibri"/>
                <w:color w:val="1F2937"/>
                <w:sz w:val="17"/>
              </w:rPr>
              <w:t>QUALITY</w:t>
            </w:r>
          </w:p>
        </w:tc>
        <w:tc>
          <w:tcPr>
            <w:tcW w:type="dxa" w:w="1000"/>
            <w:tcMar>
              <w:top w:w="80" w:type="dxa"/>
              <w:bottom w:w="80" w:type="dxa"/>
              <w:start w:w="120" w:type="dxa"/>
              <w:end w:w="120" w:type="dxa"/>
            </w:tcMar>
            <w:vAlign w:val="center"/>
            <w:shd w:fill="E8F4F1"/>
          </w:tcPr>
          <w:p>
            <w:pPr>
              <w:spacing w:before="0" w:after="0" w:line="259" w:lineRule="auto"/>
            </w:pPr>
            <w:r>
              <w:rPr>
                <w:rFonts w:ascii="Calibri" w:hAnsi="Calibri"/>
                <w:color w:val="1F2937"/>
                <w:sz w:val="17"/>
              </w:rPr>
              <w:t>6</w:t>
            </w:r>
          </w:p>
        </w:tc>
        <w:tc>
          <w:tcPr>
            <w:tcW w:type="dxa" w:w="5860"/>
            <w:tcMar>
              <w:top w:w="80" w:type="dxa"/>
              <w:bottom w:w="80" w:type="dxa"/>
              <w:start w:w="120" w:type="dxa"/>
              <w:end w:w="120" w:type="dxa"/>
            </w:tcMar>
            <w:vAlign w:val="center"/>
            <w:shd w:fill="E8F4F1"/>
          </w:tcPr>
          <w:p>
            <w:pPr>
              <w:spacing w:before="0" w:after="0" w:line="259" w:lineRule="auto"/>
            </w:pPr>
            <w:r>
              <w:rPr>
                <w:rFonts w:ascii="Calibri" w:hAnsi="Calibri"/>
                <w:color w:val="1F2937"/>
                <w:sz w:val="17"/>
              </w:rPr>
              <w:t>Condition, packaging, or product-quality observation</w:t>
            </w:r>
          </w:p>
        </w:tc>
      </w:tr>
      <w:tr>
        <w:trPr>
          <w:cantSplit/>
        </w:trPr>
        <w:tc>
          <w:tcPr>
            <w:tcW w:type="dxa" w:w="2500"/>
            <w:tcMar>
              <w:top w:w="80" w:type="dxa"/>
              <w:bottom w:w="80" w:type="dxa"/>
              <w:start w:w="120" w:type="dxa"/>
              <w:end w:w="120" w:type="dxa"/>
            </w:tcMar>
            <w:vAlign w:val="center"/>
          </w:tcPr>
          <w:p>
            <w:pPr>
              <w:spacing w:before="0" w:after="0" w:line="259" w:lineRule="auto"/>
            </w:pPr>
            <w:r>
              <w:rPr>
                <w:rFonts w:ascii="Calibri" w:hAnsi="Calibri"/>
                <w:color w:val="1F2937"/>
                <w:sz w:val="17"/>
              </w:rPr>
              <w:t>COMMUNICATION</w:t>
            </w:r>
          </w:p>
        </w:tc>
        <w:tc>
          <w:tcPr>
            <w:tcW w:type="dxa" w:w="1000"/>
            <w:tcMar>
              <w:top w:w="80" w:type="dxa"/>
              <w:bottom w:w="80" w:type="dxa"/>
              <w:start w:w="120" w:type="dxa"/>
              <w:end w:w="120" w:type="dxa"/>
            </w:tcMar>
            <w:vAlign w:val="center"/>
          </w:tcPr>
          <w:p>
            <w:pPr>
              <w:spacing w:before="0" w:after="0" w:line="259" w:lineRule="auto"/>
            </w:pPr>
            <w:r>
              <w:rPr>
                <w:rFonts w:ascii="Calibri" w:hAnsi="Calibri"/>
                <w:color w:val="1F2937"/>
                <w:sz w:val="17"/>
              </w:rPr>
              <w:t>9</w:t>
            </w:r>
          </w:p>
        </w:tc>
        <w:tc>
          <w:tcPr>
            <w:tcW w:type="dxa" w:w="5860"/>
            <w:tcMar>
              <w:top w:w="80" w:type="dxa"/>
              <w:bottom w:w="80" w:type="dxa"/>
              <w:start w:w="120" w:type="dxa"/>
              <w:end w:w="120" w:type="dxa"/>
            </w:tcMar>
            <w:vAlign w:val="center"/>
          </w:tcPr>
          <w:p>
            <w:pPr>
              <w:spacing w:before="0" w:after="0" w:line="259" w:lineRule="auto"/>
            </w:pPr>
            <w:r>
              <w:rPr>
                <w:rFonts w:ascii="Calibri" w:hAnsi="Calibri"/>
                <w:color w:val="1F2937"/>
                <w:sz w:val="17"/>
              </w:rPr>
              <w:t>Clarity, update, or expectation setting</w:t>
            </w:r>
          </w:p>
        </w:tc>
      </w:tr>
      <w:tr>
        <w:trPr>
          <w:cantSplit/>
        </w:trPr>
        <w:tc>
          <w:tcPr>
            <w:tcW w:type="dxa" w:w="2500"/>
            <w:tcMar>
              <w:top w:w="80" w:type="dxa"/>
              <w:bottom w:w="80" w:type="dxa"/>
              <w:start w:w="120" w:type="dxa"/>
              <w:end w:w="120" w:type="dxa"/>
            </w:tcMar>
            <w:vAlign w:val="center"/>
            <w:shd w:fill="E8F4F1"/>
          </w:tcPr>
          <w:p>
            <w:pPr>
              <w:spacing w:before="0" w:after="0" w:line="259" w:lineRule="auto"/>
            </w:pPr>
            <w:r>
              <w:rPr>
                <w:rFonts w:ascii="Calibri" w:hAnsi="Calibri"/>
                <w:color w:val="1F2937"/>
                <w:sz w:val="17"/>
              </w:rPr>
              <w:t>PRICING_BILLING</w:t>
            </w:r>
          </w:p>
        </w:tc>
        <w:tc>
          <w:tcPr>
            <w:tcW w:type="dxa" w:w="1000"/>
            <w:tcMar>
              <w:top w:w="80" w:type="dxa"/>
              <w:bottom w:w="80" w:type="dxa"/>
              <w:start w:w="120" w:type="dxa"/>
              <w:end w:w="120" w:type="dxa"/>
            </w:tcMar>
            <w:vAlign w:val="center"/>
            <w:shd w:fill="E8F4F1"/>
          </w:tcPr>
          <w:p>
            <w:pPr>
              <w:spacing w:before="0" w:after="0" w:line="259" w:lineRule="auto"/>
            </w:pPr>
            <w:r>
              <w:rPr>
                <w:rFonts w:ascii="Calibri" w:hAnsi="Calibri"/>
                <w:color w:val="1F2937"/>
                <w:sz w:val="17"/>
              </w:rPr>
              <w:t>1</w:t>
            </w:r>
          </w:p>
        </w:tc>
        <w:tc>
          <w:tcPr>
            <w:tcW w:type="dxa" w:w="5860"/>
            <w:tcMar>
              <w:top w:w="80" w:type="dxa"/>
              <w:bottom w:w="80" w:type="dxa"/>
              <w:start w:w="120" w:type="dxa"/>
              <w:end w:w="120" w:type="dxa"/>
            </w:tcMar>
            <w:vAlign w:val="center"/>
            <w:shd w:fill="E8F4F1"/>
          </w:tcPr>
          <w:p>
            <w:pPr>
              <w:spacing w:before="0" w:after="0" w:line="259" w:lineRule="auto"/>
            </w:pPr>
            <w:r>
              <w:rPr>
                <w:rFonts w:ascii="Calibri" w:hAnsi="Calibri"/>
                <w:color w:val="1F2937"/>
                <w:sz w:val="17"/>
              </w:rPr>
              <w:t>Price, charge, or label concern</w:t>
            </w:r>
          </w:p>
        </w:tc>
      </w:tr>
      <w:tr>
        <w:trPr>
          <w:cantSplit/>
        </w:trPr>
        <w:tc>
          <w:tcPr>
            <w:tcW w:type="dxa" w:w="2500"/>
            <w:tcMar>
              <w:top w:w="80" w:type="dxa"/>
              <w:bottom w:w="80" w:type="dxa"/>
              <w:start w:w="120" w:type="dxa"/>
              <w:end w:w="120" w:type="dxa"/>
            </w:tcMar>
            <w:vAlign w:val="center"/>
          </w:tcPr>
          <w:p>
            <w:pPr>
              <w:spacing w:before="0" w:after="0" w:line="259" w:lineRule="auto"/>
            </w:pPr>
            <w:r>
              <w:rPr>
                <w:rFonts w:ascii="Calibri" w:hAnsi="Calibri"/>
                <w:color w:val="1F2937"/>
                <w:sz w:val="17"/>
              </w:rPr>
              <w:t>AVAILABILITY</w:t>
            </w:r>
          </w:p>
        </w:tc>
        <w:tc>
          <w:tcPr>
            <w:tcW w:type="dxa" w:w="1000"/>
            <w:tcMar>
              <w:top w:w="80" w:type="dxa"/>
              <w:bottom w:w="80" w:type="dxa"/>
              <w:start w:w="120" w:type="dxa"/>
              <w:end w:w="120" w:type="dxa"/>
            </w:tcMar>
            <w:vAlign w:val="center"/>
          </w:tcPr>
          <w:p>
            <w:pPr>
              <w:spacing w:before="0" w:after="0" w:line="259" w:lineRule="auto"/>
            </w:pPr>
            <w:r>
              <w:rPr>
                <w:rFonts w:ascii="Calibri" w:hAnsi="Calibri"/>
                <w:color w:val="1F2937"/>
                <w:sz w:val="17"/>
              </w:rPr>
              <w:t>6</w:t>
            </w:r>
          </w:p>
        </w:tc>
        <w:tc>
          <w:tcPr>
            <w:tcW w:type="dxa" w:w="5860"/>
            <w:tcMar>
              <w:top w:w="80" w:type="dxa"/>
              <w:bottom w:w="80" w:type="dxa"/>
              <w:start w:w="120" w:type="dxa"/>
              <w:end w:w="120" w:type="dxa"/>
            </w:tcMar>
            <w:vAlign w:val="center"/>
          </w:tcPr>
          <w:p>
            <w:pPr>
              <w:spacing w:before="0" w:after="0" w:line="259" w:lineRule="auto"/>
            </w:pPr>
            <w:r>
              <w:rPr>
                <w:rFonts w:ascii="Calibri" w:hAnsi="Calibri"/>
                <w:color w:val="1F2937"/>
                <w:sz w:val="17"/>
              </w:rPr>
              <w:t>Stock, reservation, seating, or capacity</w:t>
            </w:r>
          </w:p>
        </w:tc>
      </w:tr>
      <w:tr>
        <w:trPr>
          <w:cantSplit/>
        </w:trPr>
        <w:tc>
          <w:tcPr>
            <w:tcW w:type="dxa" w:w="2500"/>
            <w:tcMar>
              <w:top w:w="80" w:type="dxa"/>
              <w:bottom w:w="80" w:type="dxa"/>
              <w:start w:w="120" w:type="dxa"/>
              <w:end w:w="120" w:type="dxa"/>
            </w:tcMar>
            <w:vAlign w:val="center"/>
            <w:shd w:fill="E8F4F1"/>
          </w:tcPr>
          <w:p>
            <w:pPr>
              <w:spacing w:before="0" w:after="0" w:line="259" w:lineRule="auto"/>
            </w:pPr>
            <w:r>
              <w:rPr>
                <w:rFonts w:ascii="Calibri" w:hAnsi="Calibri"/>
                <w:color w:val="1F2937"/>
                <w:sz w:val="17"/>
              </w:rPr>
              <w:t>FACILITY</w:t>
            </w:r>
          </w:p>
        </w:tc>
        <w:tc>
          <w:tcPr>
            <w:tcW w:type="dxa" w:w="1000"/>
            <w:tcMar>
              <w:top w:w="80" w:type="dxa"/>
              <w:bottom w:w="80" w:type="dxa"/>
              <w:start w:w="120" w:type="dxa"/>
              <w:end w:w="120" w:type="dxa"/>
            </w:tcMar>
            <w:vAlign w:val="center"/>
            <w:shd w:fill="E8F4F1"/>
          </w:tcPr>
          <w:p>
            <w:pPr>
              <w:spacing w:before="0" w:after="0" w:line="259" w:lineRule="auto"/>
            </w:pPr>
            <w:r>
              <w:rPr>
                <w:rFonts w:ascii="Calibri" w:hAnsi="Calibri"/>
                <w:color w:val="1F2937"/>
                <w:sz w:val="17"/>
              </w:rPr>
              <w:t>4</w:t>
            </w:r>
          </w:p>
        </w:tc>
        <w:tc>
          <w:tcPr>
            <w:tcW w:type="dxa" w:w="5860"/>
            <w:tcMar>
              <w:top w:w="80" w:type="dxa"/>
              <w:bottom w:w="80" w:type="dxa"/>
              <w:start w:w="120" w:type="dxa"/>
              <w:end w:w="120" w:type="dxa"/>
            </w:tcMar>
            <w:vAlign w:val="center"/>
            <w:shd w:fill="E8F4F1"/>
          </w:tcPr>
          <w:p>
            <w:pPr>
              <w:spacing w:before="0" w:after="0" w:line="259" w:lineRule="auto"/>
            </w:pPr>
            <w:r>
              <w:rPr>
                <w:rFonts w:ascii="Calibri" w:hAnsi="Calibri"/>
                <w:color w:val="1F2937"/>
                <w:sz w:val="17"/>
              </w:rPr>
              <w:t>Space, seating, or in-shop environment</w:t>
            </w:r>
          </w:p>
        </w:tc>
      </w:tr>
      <w:tr>
        <w:trPr>
          <w:cantSplit/>
        </w:trPr>
        <w:tc>
          <w:tcPr>
            <w:tcW w:type="dxa" w:w="2500"/>
            <w:tcMar>
              <w:top w:w="80" w:type="dxa"/>
              <w:bottom w:w="80" w:type="dxa"/>
              <w:start w:w="120" w:type="dxa"/>
              <w:end w:w="120" w:type="dxa"/>
            </w:tcMar>
            <w:vAlign w:val="center"/>
          </w:tcPr>
          <w:p>
            <w:pPr>
              <w:spacing w:before="0" w:after="0" w:line="259" w:lineRule="auto"/>
            </w:pPr>
            <w:r>
              <w:rPr>
                <w:rFonts w:ascii="Calibri" w:hAnsi="Calibri"/>
                <w:color w:val="1F2937"/>
                <w:sz w:val="17"/>
              </w:rPr>
              <w:t>DELIVERY</w:t>
            </w:r>
          </w:p>
        </w:tc>
        <w:tc>
          <w:tcPr>
            <w:tcW w:type="dxa" w:w="1000"/>
            <w:tcMar>
              <w:top w:w="80" w:type="dxa"/>
              <w:bottom w:w="80" w:type="dxa"/>
              <w:start w:w="120" w:type="dxa"/>
              <w:end w:w="120" w:type="dxa"/>
            </w:tcMar>
            <w:vAlign w:val="center"/>
          </w:tcPr>
          <w:p>
            <w:pPr>
              <w:spacing w:before="0" w:after="0" w:line="259" w:lineRule="auto"/>
            </w:pPr>
            <w:r>
              <w:rPr>
                <w:rFonts w:ascii="Calibri" w:hAnsi="Calibri"/>
                <w:color w:val="1F2937"/>
                <w:sz w:val="17"/>
              </w:rPr>
              <w:t>2</w:t>
            </w:r>
          </w:p>
        </w:tc>
        <w:tc>
          <w:tcPr>
            <w:tcW w:type="dxa" w:w="5860"/>
            <w:tcMar>
              <w:top w:w="80" w:type="dxa"/>
              <w:bottom w:w="80" w:type="dxa"/>
              <w:start w:w="120" w:type="dxa"/>
              <w:end w:w="120" w:type="dxa"/>
            </w:tcMar>
            <w:vAlign w:val="center"/>
          </w:tcPr>
          <w:p>
            <w:pPr>
              <w:spacing w:before="0" w:after="0" w:line="259" w:lineRule="auto"/>
            </w:pPr>
            <w:r>
              <w:rPr>
                <w:rFonts w:ascii="Calibri" w:hAnsi="Calibri"/>
                <w:color w:val="1F2937"/>
                <w:sz w:val="17"/>
              </w:rPr>
              <w:t>Pickup or handoff experience</w:t>
            </w:r>
          </w:p>
        </w:tc>
      </w:tr>
      <w:tr>
        <w:trPr>
          <w:cantSplit/>
        </w:trPr>
        <w:tc>
          <w:tcPr>
            <w:tcW w:type="dxa" w:w="2500"/>
            <w:tcMar>
              <w:top w:w="80" w:type="dxa"/>
              <w:bottom w:w="80" w:type="dxa"/>
              <w:start w:w="120" w:type="dxa"/>
              <w:end w:w="120" w:type="dxa"/>
            </w:tcMar>
            <w:vAlign w:val="center"/>
            <w:shd w:fill="E8F4F1"/>
          </w:tcPr>
          <w:p>
            <w:pPr>
              <w:spacing w:before="0" w:after="0" w:line="259" w:lineRule="auto"/>
            </w:pPr>
            <w:r>
              <w:rPr>
                <w:rFonts w:ascii="Calibri" w:hAnsi="Calibri"/>
                <w:color w:val="1F2937"/>
                <w:sz w:val="17"/>
              </w:rPr>
              <w:t>RETURNS_REFUNDS</w:t>
            </w:r>
          </w:p>
        </w:tc>
        <w:tc>
          <w:tcPr>
            <w:tcW w:type="dxa" w:w="1000"/>
            <w:tcMar>
              <w:top w:w="80" w:type="dxa"/>
              <w:bottom w:w="80" w:type="dxa"/>
              <w:start w:w="120" w:type="dxa"/>
              <w:end w:w="120" w:type="dxa"/>
            </w:tcMar>
            <w:vAlign w:val="center"/>
            <w:shd w:fill="E8F4F1"/>
          </w:tcPr>
          <w:p>
            <w:pPr>
              <w:spacing w:before="0" w:after="0" w:line="259" w:lineRule="auto"/>
            </w:pPr>
            <w:r>
              <w:rPr>
                <w:rFonts w:ascii="Calibri" w:hAnsi="Calibri"/>
                <w:color w:val="1F2937"/>
                <w:sz w:val="17"/>
              </w:rPr>
              <w:t>1</w:t>
            </w:r>
          </w:p>
        </w:tc>
        <w:tc>
          <w:tcPr>
            <w:tcW w:type="dxa" w:w="5860"/>
            <w:tcMar>
              <w:top w:w="80" w:type="dxa"/>
              <w:bottom w:w="80" w:type="dxa"/>
              <w:start w:w="120" w:type="dxa"/>
              <w:end w:w="120" w:type="dxa"/>
            </w:tcMar>
            <w:vAlign w:val="center"/>
            <w:shd w:fill="E8F4F1"/>
          </w:tcPr>
          <w:p>
            <w:pPr>
              <w:spacing w:before="0" w:after="0" w:line="259" w:lineRule="auto"/>
            </w:pPr>
            <w:r>
              <w:rPr>
                <w:rFonts w:ascii="Calibri" w:hAnsi="Calibri"/>
                <w:color w:val="1F2937"/>
                <w:sz w:val="17"/>
              </w:rPr>
              <w:t>Return-policy or refund-related feedback</w:t>
            </w:r>
          </w:p>
        </w:tc>
      </w:tr>
      <w:tr>
        <w:trPr>
          <w:cantSplit/>
        </w:trPr>
        <w:tc>
          <w:tcPr>
            <w:tcW w:type="dxa" w:w="2500"/>
            <w:tcMar>
              <w:top w:w="80" w:type="dxa"/>
              <w:bottom w:w="80" w:type="dxa"/>
              <w:start w:w="120" w:type="dxa"/>
              <w:end w:w="120" w:type="dxa"/>
            </w:tcMar>
            <w:vAlign w:val="center"/>
          </w:tcPr>
          <w:p>
            <w:pPr>
              <w:spacing w:before="0" w:after="0" w:line="259" w:lineRule="auto"/>
            </w:pPr>
            <w:r>
              <w:rPr>
                <w:rFonts w:ascii="Calibri" w:hAnsi="Calibri"/>
                <w:color w:val="1F2937"/>
                <w:sz w:val="17"/>
              </w:rPr>
              <w:t>EXPECTATION_MISMATCH</w:t>
            </w:r>
          </w:p>
        </w:tc>
        <w:tc>
          <w:tcPr>
            <w:tcW w:type="dxa" w:w="1000"/>
            <w:tcMar>
              <w:top w:w="80" w:type="dxa"/>
              <w:bottom w:w="80" w:type="dxa"/>
              <w:start w:w="120" w:type="dxa"/>
              <w:end w:w="120" w:type="dxa"/>
            </w:tcMar>
            <w:vAlign w:val="center"/>
          </w:tcPr>
          <w:p>
            <w:pPr>
              <w:spacing w:before="0" w:after="0" w:line="259" w:lineRule="auto"/>
            </w:pPr>
            <w:r>
              <w:rPr>
                <w:rFonts w:ascii="Calibri" w:hAnsi="Calibri"/>
                <w:color w:val="1F2937"/>
                <w:sz w:val="17"/>
              </w:rPr>
              <w:t>7</w:t>
            </w:r>
          </w:p>
        </w:tc>
        <w:tc>
          <w:tcPr>
            <w:tcW w:type="dxa" w:w="5860"/>
            <w:tcMar>
              <w:top w:w="80" w:type="dxa"/>
              <w:bottom w:w="80" w:type="dxa"/>
              <w:start w:w="120" w:type="dxa"/>
              <w:end w:w="120" w:type="dxa"/>
            </w:tcMar>
            <w:vAlign w:val="center"/>
          </w:tcPr>
          <w:p>
            <w:pPr>
              <w:spacing w:before="0" w:after="0" w:line="259" w:lineRule="auto"/>
            </w:pPr>
            <w:r>
              <w:rPr>
                <w:rFonts w:ascii="Calibri" w:hAnsi="Calibri"/>
                <w:color w:val="1F2937"/>
                <w:sz w:val="17"/>
              </w:rPr>
              <w:t>Experience differed from an expectation</w:t>
            </w:r>
          </w:p>
        </w:tc>
      </w:tr>
    </w:tbl>
    <w:p>
      <w:pPr>
        <w:spacing w:before="0" w:after="0"/>
      </w:pPr>
      <w:r>
        <w:br w:type="page"/>
      </w:r>
    </w:p>
    <w:p>
      <w:pPr>
        <w:pStyle w:val="Kicker"/>
      </w:pPr>
      <w:r>
        <w:t>PUBLICATION CONTROL</w:t>
      </w:r>
    </w:p>
    <w:p>
      <w:pPr>
        <w:pStyle w:val="Heading2"/>
      </w:pPr>
      <w:r>
        <w:t>E2 owner-review queue</w:t>
      </w:r>
    </w:p>
    <w:p>
      <w:pPr>
        <w:pStyle w:val="BodyList"/>
        <w:numPr>
          <w:ilvl w:val="0"/>
          <w:numId w:val="10"/>
        </w:numPr>
      </w:pPr>
      <w:r>
        <w:rPr>
          <w:rFonts w:ascii="Calibri" w:hAnsi="Calibri"/>
          <w:color w:val="1F2937"/>
          <w:sz w:val="22"/>
        </w:rPr>
        <w:t>RR-007: An item-specific special-order record may need private owner review.</w:t>
      </w:r>
    </w:p>
    <w:p>
      <w:pPr>
        <w:pStyle w:val="BodyList"/>
        <w:numPr>
          <w:ilvl w:val="0"/>
          <w:numId w:val="10"/>
        </w:numPr>
      </w:pPr>
      <w:r>
        <w:rPr>
          <w:rFonts w:ascii="Calibri" w:hAnsi="Calibri"/>
          <w:color w:val="1F2937"/>
          <w:sz w:val="22"/>
        </w:rPr>
        <w:t>RR-009: A transaction-specific return interaction may benefit from private manager review; no exception or refund is promised.</w:t>
      </w:r>
    </w:p>
    <w:p>
      <w:pPr>
        <w:pStyle w:val="BodyList"/>
        <w:numPr>
          <w:ilvl w:val="0"/>
          <w:numId w:val="10"/>
        </w:numPr>
      </w:pPr>
      <w:r>
        <w:rPr>
          <w:rFonts w:ascii="Calibri" w:hAnsi="Calibri"/>
          <w:color w:val="1F2937"/>
          <w:sz w:val="22"/>
        </w:rPr>
        <w:t>RR-012: An item-specific price-label concern needs private manager review; the public draft avoids guessing or promising compensation.</w:t>
      </w:r>
    </w:p>
    <w:p>
      <w:pPr>
        <w:pStyle w:val="BodyList"/>
        <w:numPr>
          <w:ilvl w:val="0"/>
          <w:numId w:val="10"/>
        </w:numPr>
      </w:pPr>
      <w:r>
        <w:rPr>
          <w:rFonts w:ascii="Calibri" w:hAnsi="Calibri"/>
          <w:color w:val="1F2937"/>
          <w:sz w:val="22"/>
        </w:rPr>
        <w:t>RR-016: An item-specific condition concern may need private manager review; no replacement is promised.</w:t>
      </w:r>
    </w:p>
    <w:p>
      <w:pPr>
        <w:pStyle w:val="BodyList"/>
        <w:numPr>
          <w:ilvl w:val="0"/>
          <w:numId w:val="10"/>
        </w:numPr>
      </w:pPr>
      <w:r>
        <w:rPr>
          <w:rFonts w:ascii="Calibri" w:hAnsi="Calibri"/>
          <w:color w:val="1F2937"/>
          <w:sz w:val="22"/>
        </w:rPr>
        <w:t>RR-019: A reservation-specific record and unclear request state may need private manager review.</w:t>
      </w:r>
    </w:p>
    <w:p>
      <w:pPr>
        <w:pStyle w:val="Heading2"/>
      </w:pPr>
      <w:r>
        <w:t>Manual publication workflow</w:t>
      </w:r>
    </w:p>
    <w:p>
      <w:pPr>
        <w:pStyle w:val="BodySteps"/>
        <w:numPr>
          <w:ilvl w:val="0"/>
          <w:numId w:val="11"/>
        </w:numPr>
      </w:pPr>
      <w:r>
        <w:rPr>
          <w:rFonts w:ascii="Calibri" w:hAnsi="Calibri"/>
          <w:color w:val="1F2937"/>
          <w:sz w:val="22"/>
        </w:rPr>
        <w:t>Confirm the review remains public, authentic, and de-identified.</w:t>
      </w:r>
    </w:p>
    <w:p>
      <w:pPr>
        <w:pStyle w:val="BodySteps"/>
        <w:numPr>
          <w:ilvl w:val="0"/>
          <w:numId w:val="11"/>
        </w:numPr>
      </w:pPr>
      <w:r>
        <w:rPr>
          <w:rFonts w:ascii="Calibri" w:hAnsi="Calibri"/>
          <w:color w:val="1F2937"/>
          <w:sz w:val="22"/>
        </w:rPr>
        <w:t>Check sentiment, issue tags, urgency, tier, and disposition.</w:t>
      </w:r>
    </w:p>
    <w:p>
      <w:pPr>
        <w:pStyle w:val="BodySteps"/>
        <w:numPr>
          <w:ilvl w:val="0"/>
          <w:numId w:val="11"/>
        </w:numPr>
      </w:pPr>
      <w:r>
        <w:rPr>
          <w:rFonts w:ascii="Calibri" w:hAnsi="Calibri"/>
          <w:color w:val="1F2937"/>
          <w:sz w:val="22"/>
        </w:rPr>
        <w:t>Trace each business-specific statement to the review or fact library.</w:t>
      </w:r>
    </w:p>
    <w:p>
      <w:pPr>
        <w:pStyle w:val="BodySteps"/>
        <w:numPr>
          <w:ilvl w:val="0"/>
          <w:numId w:val="11"/>
        </w:numPr>
      </w:pPr>
      <w:r>
        <w:rPr>
          <w:rFonts w:ascii="Calibri" w:hAnsi="Calibri"/>
          <w:color w:val="1F2937"/>
          <w:sz w:val="22"/>
        </w:rPr>
        <w:t>For E2, complete owner review and use only the approved contact route.</w:t>
      </w:r>
    </w:p>
    <w:p>
      <w:pPr>
        <w:pStyle w:val="BodySteps"/>
        <w:numPr>
          <w:ilvl w:val="0"/>
          <w:numId w:val="11"/>
        </w:numPr>
      </w:pPr>
      <w:r>
        <w:rPr>
          <w:rFonts w:ascii="Calibri" w:hAnsi="Calibri"/>
          <w:color w:val="1F2937"/>
          <w:sz w:val="22"/>
        </w:rPr>
        <w:t>Approve or edit the draft, then paste manually; do not automate posting.</w:t>
      </w:r>
    </w:p>
    <w:p>
      <w:pPr>
        <w:pStyle w:val="Heading2"/>
      </w:pPr>
      <w:r>
        <w:t>Automatic publication veto</w:t>
      </w:r>
    </w:p>
    <w:p>
      <w:pPr>
        <w:pStyle w:val="BodyList"/>
        <w:numPr>
          <w:ilvl w:val="0"/>
          <w:numId w:val="10"/>
        </w:numPr>
      </w:pPr>
      <w:r>
        <w:rPr>
          <w:rFonts w:ascii="Calibri" w:hAnsi="Calibri"/>
          <w:color w:val="1F2937"/>
          <w:sz w:val="22"/>
        </w:rPr>
        <w:t>Any direct identifier, private detail, or confidential transaction information.</w:t>
      </w:r>
    </w:p>
    <w:p>
      <w:pPr>
        <w:pStyle w:val="BodyList"/>
        <w:numPr>
          <w:ilvl w:val="0"/>
          <w:numId w:val="10"/>
        </w:numPr>
      </w:pPr>
      <w:r>
        <w:rPr>
          <w:rFonts w:ascii="Calibri" w:hAnsi="Calibri"/>
          <w:color w:val="1F2937"/>
          <w:sz w:val="22"/>
        </w:rPr>
        <w:t>Any business-specific statement that is not sourced to the review or verified fact library.</w:t>
      </w:r>
    </w:p>
    <w:p>
      <w:pPr>
        <w:pStyle w:val="BodyList"/>
        <w:numPr>
          <w:ilvl w:val="0"/>
          <w:numId w:val="10"/>
        </w:numPr>
      </w:pPr>
      <w:r>
        <w:rPr>
          <w:rFonts w:ascii="Calibri" w:hAnsi="Calibri"/>
          <w:color w:val="1F2937"/>
          <w:sz w:val="22"/>
        </w:rPr>
        <w:t>Any resolution, compensation, refund, investigation, employee action, or timing promise.</w:t>
      </w:r>
    </w:p>
    <w:p>
      <w:pPr>
        <w:pStyle w:val="BodyList"/>
        <w:numPr>
          <w:ilvl w:val="0"/>
          <w:numId w:val="10"/>
        </w:numPr>
      </w:pPr>
      <w:r>
        <w:rPr>
          <w:rFonts w:ascii="Calibri" w:hAnsi="Calibri"/>
          <w:color w:val="1F2937"/>
          <w:sz w:val="22"/>
        </w:rPr>
        <w:t>Any threat, accusation, liability admission, or inflammatory language.</w:t>
      </w:r>
    </w:p>
    <w:p>
      <w:pPr>
        <w:pStyle w:val="BodyList"/>
        <w:numPr>
          <w:ilvl w:val="0"/>
          <w:numId w:val="10"/>
        </w:numPr>
      </w:pPr>
      <w:r>
        <w:rPr>
          <w:rFonts w:ascii="Calibri" w:hAnsi="Calibri"/>
          <w:color w:val="1F2937"/>
          <w:sz w:val="22"/>
        </w:rPr>
        <w:t>Any request to edit, remove, or improve the review or rating.</w:t>
      </w:r>
    </w:p>
    <w:p>
      <w:pPr>
        <w:pStyle w:val="BodyList"/>
        <w:numPr>
          <w:ilvl w:val="0"/>
          <w:numId w:val="10"/>
        </w:numPr>
      </w:pPr>
      <w:r>
        <w:rPr>
          <w:rFonts w:ascii="Calibri" w:hAnsi="Calibri"/>
          <w:color w:val="1F2937"/>
          <w:sz w:val="22"/>
        </w:rPr>
        <w:t>Any draft that has not received the required buyer approval.</w:t>
      </w:r>
    </w:p>
    <w:p>
      <w:pPr>
        <w:pStyle w:val="BoundaryCallout"/>
        <w:shd w:fill="F5F0E6"/>
        <w:keepNext w:val="0"/>
        <w:keepLines/>
        <w:pBdr>
          <w:left w:val="single" w:sz="18" w:space="8" w:color="C3953D"/>
        </w:pBdr>
      </w:pPr>
      <w:r>
        <w:rPr>
          <w:rFonts w:ascii="Calibri" w:hAnsi="Calibri"/>
          <w:b/>
          <w:color w:val="17324D"/>
          <w:sz w:val="20"/>
        </w:rPr>
        <w:t xml:space="preserve">NO-POSTING BOUNDARY: </w:t>
      </w:r>
      <w:r>
        <w:rPr>
          <w:rFonts w:ascii="Calibri" w:hAnsi="Calibri"/>
          <w:color w:val="1F2937"/>
          <w:sz w:val="20"/>
        </w:rPr>
        <w:t>This proof book supports drafting and review only. A buyer must approve and paste any final response manually; no platform login, posting, or reviewer contact is included.</w:t>
      </w:r>
    </w:p>
    <w:p>
      <w:pPr>
        <w:spacing w:before="0" w:after="0"/>
      </w:pPr>
      <w:r>
        <w:br w:type="page"/>
      </w:r>
    </w:p>
    <w:p>
      <w:pPr>
        <w:pStyle w:val="Kicker"/>
      </w:pPr>
      <w:r>
        <w:t>RESPONSE SET 01 | FICTIONAL DEMO</w:t>
      </w:r>
    </w:p>
    <w:p>
      <w:pPr>
        <w:pStyle w:val="Heading1"/>
      </w:pPr>
      <w:r>
        <w:t>RR-001 - RR-002</w:t>
      </w:r>
    </w:p>
    <w:p>
      <w:pPr>
        <w:pStyle w:val="Heading2"/>
        <w:keepNext/>
      </w:pPr>
      <w:r>
        <w:t>RR-001 | 5/5 stars | Positive</w:t>
      </w:r>
    </w:p>
    <w:p>
      <w:pPr>
        <w:pStyle w:val="CardMetadata"/>
        <w:keepNext/>
      </w:pPr>
      <w:r>
        <w:rPr>
          <w:rFonts w:ascii="Calibri" w:hAnsi="Calibri"/>
          <w:b/>
          <w:color w:val="246B67"/>
          <w:sz w:val="17"/>
        </w:rPr>
        <w:t xml:space="preserve">Tags: </w:t>
      </w:r>
      <w:r>
        <w:rPr>
          <w:rFonts w:ascii="Calibri" w:hAnsi="Calibri"/>
          <w:color w:val="1F2937"/>
          <w:sz w:val="17"/>
        </w:rPr>
        <w:t>PRAISE; STAFF; QUALITY</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Routine</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E0</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READY FOR BUYER REVIEW</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Beautiful little shop. The bookseller listened to what I liked, found two novels I would have missed, and wrapped one as a gift. The paper goods were thoughtfully chosen too.</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noticing the staff recommendations, the mix of books and paper goods, and the complimentary gift wrap. We are glad those details made the visit enjoyable, and we appreciate you taking the time to share them. - The Marlowe Street Books &amp; Paper team</w:t>
      </w:r>
    </w:p>
    <w:p>
      <w:pPr>
        <w:pStyle w:val="TraceNote"/>
        <w:keepNext w:val="0"/>
      </w:pPr>
      <w:r>
        <w:t>Trace: review RR-001 + facts BF-005, BF-011, BF-012 | 2 mapped claim row(s) | 46 words</w:t>
      </w:r>
    </w:p>
    <w:p>
      <w:pPr>
        <w:pStyle w:val="Heading2"/>
        <w:keepNext/>
      </w:pPr>
      <w:r>
        <w:t>RR-002 | 4/5 stars | Mixed</w:t>
      </w:r>
    </w:p>
    <w:p>
      <w:pPr>
        <w:pStyle w:val="CardMetadata"/>
        <w:keepNext/>
      </w:pPr>
      <w:r>
        <w:rPr>
          <w:rFonts w:ascii="Calibri" w:hAnsi="Calibri"/>
          <w:b/>
          <w:color w:val="246B67"/>
          <w:sz w:val="17"/>
        </w:rPr>
        <w:t xml:space="preserve">Tags: </w:t>
      </w:r>
      <w:r>
        <w:rPr>
          <w:rFonts w:ascii="Calibri" w:hAnsi="Calibri"/>
          <w:color w:val="1F2937"/>
          <w:sz w:val="17"/>
        </w:rPr>
        <w:t>PRAISE; SPEED_WAIT; STAFF</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Routine</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E0</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READY FOR BUYER REVIEW</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The notebook and pen selection was excellent. Checkout on Saturday took about twelve minutes, which felt long for a small purchase, but the person at the register stayed friendly.</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the kind words about the notebook and pen selection and for flagging the Saturday checkout wait. We appreciate both parts of the feedback, including your note that the register interaction remained friendly. - The Marlowe Street Books &amp; Paper team</w:t>
      </w:r>
    </w:p>
    <w:p>
      <w:pPr>
        <w:pStyle w:val="TraceNote"/>
        <w:keepNext w:val="0"/>
      </w:pPr>
      <w:r>
        <w:t>Trace: review RR-002 + facts BF-011, BF-012 | 1 mapped claim row(s) | 43 words</w:t>
      </w:r>
    </w:p>
    <w:p>
      <w:pPr>
        <w:spacing w:before="0" w:after="0"/>
      </w:pPr>
      <w:r>
        <w:br w:type="page"/>
      </w:r>
    </w:p>
    <w:p>
      <w:pPr>
        <w:pStyle w:val="Kicker"/>
      </w:pPr>
      <w:r>
        <w:t>RESPONSE SET 02 | FICTIONAL DEMO</w:t>
      </w:r>
    </w:p>
    <w:p>
      <w:pPr>
        <w:pStyle w:val="Heading1"/>
      </w:pPr>
      <w:r>
        <w:t>RR-003 - RR-004</w:t>
      </w:r>
    </w:p>
    <w:p>
      <w:pPr>
        <w:pStyle w:val="Heading2"/>
        <w:keepNext/>
      </w:pPr>
      <w:r>
        <w:t>RR-003 | 2/5 stars | Negative</w:t>
      </w:r>
    </w:p>
    <w:p>
      <w:pPr>
        <w:pStyle w:val="CardMetadata"/>
        <w:keepNext/>
      </w:pPr>
      <w:r>
        <w:rPr>
          <w:rFonts w:ascii="Calibri" w:hAnsi="Calibri"/>
          <w:b/>
          <w:color w:val="246B67"/>
          <w:sz w:val="17"/>
        </w:rPr>
        <w:t xml:space="preserve">Tags: </w:t>
      </w:r>
      <w:r>
        <w:rPr>
          <w:rFonts w:ascii="Calibri" w:hAnsi="Calibri"/>
          <w:color w:val="1F2937"/>
          <w:sz w:val="17"/>
        </w:rPr>
        <w:t>AVAILABILITY; EXPECTATION_MISMATCH; COMMUNICATION</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Priority</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E1</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READY AFTER OWNER AWARENESS</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The website showed a novel as available, but it was gone when I arrived that afternoon. I wish the stock status had been clearer before I made the trip.</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flagging the gap between the online availability guide and what you found in the shop. The guide is updated in batches and can lag after busy periods, so a reservation is secured only after confirmation. We understand how disappointing that mismatch felt. - The Marlowe Street Books &amp; Paper team</w:t>
      </w:r>
    </w:p>
    <w:p>
      <w:pPr>
        <w:pStyle w:val="TraceNote"/>
        <w:keepNext w:val="0"/>
      </w:pPr>
      <w:r>
        <w:t>Trace: review RR-003 + facts BF-003, BF-011, BF-012 | 2 mapped claim row(s) | 53 words</w:t>
      </w:r>
    </w:p>
    <w:p>
      <w:pPr>
        <w:pStyle w:val="Heading2"/>
        <w:keepNext/>
      </w:pPr>
      <w:r>
        <w:t>RR-004 | 3/5 stars | Mixed</w:t>
      </w:r>
    </w:p>
    <w:p>
      <w:pPr>
        <w:pStyle w:val="CardMetadata"/>
        <w:keepNext/>
      </w:pPr>
      <w:r>
        <w:rPr>
          <w:rFonts w:ascii="Calibri" w:hAnsi="Calibri"/>
          <w:b/>
          <w:color w:val="246B67"/>
          <w:sz w:val="17"/>
        </w:rPr>
        <w:t xml:space="preserve">Tags: </w:t>
      </w:r>
      <w:r>
        <w:rPr>
          <w:rFonts w:ascii="Calibri" w:hAnsi="Calibri"/>
          <w:color w:val="1F2937"/>
          <w:sz w:val="17"/>
        </w:rPr>
        <w:t>COMMUNICATION; SPEED_WAIT; STAFF</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Priority</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E1</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READY AFTER OWNER AWARENESS</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Curbside pickup was confusing. I came over after submitting the request, but the book was not ready because I had not received a confirmation yet. The staff member explained it politely.</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describing the pickup confusion. Curbside pickup is available during open hours for confirmed reservations, and the confirmation is the signal that the item is ready. We appreciate your note that the handoff steps were not clear enough during this visit. - The Marlowe Street Books &amp; Paper team</w:t>
      </w:r>
    </w:p>
    <w:p>
      <w:pPr>
        <w:pStyle w:val="TraceNote"/>
        <w:keepNext w:val="0"/>
      </w:pPr>
      <w:r>
        <w:t>Trace: review RR-004 + facts BF-003, BF-004, BF-011, BF-012 | 3 mapped claim row(s) | 51 words</w:t>
      </w:r>
    </w:p>
    <w:p>
      <w:pPr>
        <w:spacing w:before="0" w:after="0"/>
      </w:pPr>
      <w:r>
        <w:br w:type="page"/>
      </w:r>
    </w:p>
    <w:p>
      <w:pPr>
        <w:pStyle w:val="Kicker"/>
      </w:pPr>
      <w:r>
        <w:t>RESPONSE SET 03 | FICTIONAL DEMO</w:t>
      </w:r>
    </w:p>
    <w:p>
      <w:pPr>
        <w:pStyle w:val="Heading1"/>
      </w:pPr>
      <w:r>
        <w:t>RR-005 - RR-006</w:t>
      </w:r>
    </w:p>
    <w:p>
      <w:pPr>
        <w:pStyle w:val="Heading2"/>
        <w:keepNext/>
      </w:pPr>
      <w:r>
        <w:t>RR-005 | 5/5 stars | Positive</w:t>
      </w:r>
    </w:p>
    <w:p>
      <w:pPr>
        <w:pStyle w:val="CardMetadata"/>
        <w:keepNext/>
      </w:pPr>
      <w:r>
        <w:rPr>
          <w:rFonts w:ascii="Calibri" w:hAnsi="Calibri"/>
          <w:b/>
          <w:color w:val="246B67"/>
          <w:sz w:val="17"/>
        </w:rPr>
        <w:t xml:space="preserve">Tags: </w:t>
      </w:r>
      <w:r>
        <w:rPr>
          <w:rFonts w:ascii="Calibri" w:hAnsi="Calibri"/>
          <w:color w:val="1F2937"/>
          <w:sz w:val="17"/>
        </w:rPr>
        <w:t>PRAISE; FACILITY; QUALITY</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Routine</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E0</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READY FOR BUYER REVIEW</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The author talk was lively and well organized. It was packed, but I had registered and my seat was waiting. I also found a beautiful card on the way out.</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joining the author talk and for sharing the details that worked well. Event seating is limited, and we are glad the confirmed registration and the card selection both contributed to a good visit. - The Marlowe Street Books &amp; Paper team</w:t>
      </w:r>
    </w:p>
    <w:p>
      <w:pPr>
        <w:pStyle w:val="TraceNote"/>
        <w:keepNext w:val="0"/>
      </w:pPr>
      <w:r>
        <w:t>Trace: review RR-005 + facts BF-007, BF-011, BF-012 | 2 mapped claim row(s) | 44 words</w:t>
      </w:r>
    </w:p>
    <w:p>
      <w:pPr>
        <w:pStyle w:val="Heading2"/>
        <w:keepNext/>
      </w:pPr>
      <w:r>
        <w:t>RR-006 | 2/5 stars | Negative</w:t>
      </w:r>
    </w:p>
    <w:p>
      <w:pPr>
        <w:pStyle w:val="CardMetadata"/>
        <w:keepNext/>
      </w:pPr>
      <w:r>
        <w:rPr>
          <w:rFonts w:ascii="Calibri" w:hAnsi="Calibri"/>
          <w:b/>
          <w:color w:val="246B67"/>
          <w:sz w:val="17"/>
        </w:rPr>
        <w:t xml:space="preserve">Tags: </w:t>
      </w:r>
      <w:r>
        <w:rPr>
          <w:rFonts w:ascii="Calibri" w:hAnsi="Calibri"/>
          <w:color w:val="1F2937"/>
          <w:sz w:val="17"/>
        </w:rPr>
        <w:t>AVAILABILITY; FACILITY; EXPECTATION_MISMATCH</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Priority</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E1</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READY AFTER OWNER AWARENESS</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I arrived for the poetry reading without registering and could not get a seat. The event page should have made the limited capacity much more obvious.</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sharing this. Event seating is limited, and events that require registration hold places for confirmed attendees; walk-ins can be accommodated only when space remains. We understand that reaching the shop and not finding a seat was frustrating, and we appreciate the clear feedback about capacity communication. - The Marlowe Street Books &amp; Paper team</w:t>
      </w:r>
    </w:p>
    <w:p>
      <w:pPr>
        <w:pStyle w:val="TraceNote"/>
        <w:keepNext w:val="0"/>
      </w:pPr>
      <w:r>
        <w:t>Trace: review RR-006 + facts BF-007, BF-011, BF-012 | 2 mapped claim row(s) | 57 words</w:t>
      </w:r>
    </w:p>
    <w:p>
      <w:pPr>
        <w:spacing w:before="0" w:after="0"/>
      </w:pPr>
      <w:r>
        <w:br w:type="page"/>
      </w:r>
    </w:p>
    <w:p>
      <w:pPr>
        <w:pStyle w:val="Kicker"/>
      </w:pPr>
      <w:r>
        <w:t>RESPONSE SET 04 | FICTIONAL DEMO</w:t>
      </w:r>
    </w:p>
    <w:p>
      <w:pPr>
        <w:pStyle w:val="Heading1"/>
      </w:pPr>
      <w:r>
        <w:t>RR-007 - RR-008</w:t>
      </w:r>
    </w:p>
    <w:p>
      <w:pPr>
        <w:pStyle w:val="Heading2"/>
        <w:keepNext/>
      </w:pPr>
      <w:r>
        <w:t>RR-007 | 1/5 stars | Negative</w:t>
      </w:r>
    </w:p>
    <w:p>
      <w:pPr>
        <w:pStyle w:val="CardMetadata"/>
        <w:keepNext/>
      </w:pPr>
      <w:r>
        <w:rPr>
          <w:rFonts w:ascii="Calibri" w:hAnsi="Calibri"/>
          <w:b/>
          <w:color w:val="246B67"/>
          <w:sz w:val="17"/>
        </w:rPr>
        <w:t xml:space="preserve">Tags: </w:t>
      </w:r>
      <w:r>
        <w:rPr>
          <w:rFonts w:ascii="Calibri" w:hAnsi="Calibri"/>
          <w:color w:val="1F2937"/>
          <w:sz w:val="17"/>
        </w:rPr>
        <w:t>COMMUNICATION; AVAILABILITY; SPEED_WAIT</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Prompt private follow-up</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E2</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HOLD FOR OWNER REVIEW</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My special order took much longer than I expected, and I did not receive an update before I called. I still do not know whether the title ever arrived.</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telling us about the long wait and lack of an update. Special-order timing depends on distributor availability, and a pickup notice is sent after an item arrives. Please email hello@marlowestreetbooks.example with the order reference and approximate order date so a manager can review the specific record privately. - The Marlowe Street Books &amp; Paper team</w:t>
      </w:r>
    </w:p>
    <w:p>
      <w:pPr>
        <w:pStyle w:val="TraceNote"/>
        <w:keepNext/>
      </w:pPr>
      <w:r>
        <w:t>Trace: review RR-007 + facts BF-006, BF-009, BF-011, BF-012, BF-014 | 3 mapped claim row(s) | 58 words</w:t>
      </w:r>
    </w:p>
    <w:p>
      <w:pPr>
        <w:pStyle w:val="BoundaryCallout"/>
        <w:shd w:fill="FFF1D6"/>
        <w:keepNext w:val="0"/>
        <w:keepLines/>
        <w:pBdr>
          <w:left w:val="single" w:sz="18" w:space="8" w:color="C3953D"/>
        </w:pBdr>
      </w:pPr>
      <w:r>
        <w:rPr>
          <w:rFonts w:ascii="Calibri" w:hAnsi="Calibri"/>
          <w:b/>
          <w:color w:val="17324D"/>
          <w:sz w:val="20"/>
        </w:rPr>
        <w:t xml:space="preserve">HOLD FOR OWNER REVIEW: </w:t>
      </w:r>
      <w:r>
        <w:rPr>
          <w:rFonts w:ascii="Calibri" w:hAnsi="Calibri"/>
          <w:color w:val="1F2937"/>
          <w:sz w:val="20"/>
        </w:rPr>
        <w:t>An item-specific special-order record may need private owner review. The public draft uses only the approved .example contact route and makes no outcome promise.</w:t>
      </w:r>
    </w:p>
    <w:p>
      <w:pPr>
        <w:pStyle w:val="Heading2"/>
        <w:keepNext/>
      </w:pPr>
      <w:r>
        <w:t>RR-008 | 4/5 stars | Mixed</w:t>
      </w:r>
    </w:p>
    <w:p>
      <w:pPr>
        <w:pStyle w:val="CardMetadata"/>
        <w:keepNext/>
      </w:pPr>
      <w:r>
        <w:rPr>
          <w:rFonts w:ascii="Calibri" w:hAnsi="Calibri"/>
          <w:b/>
          <w:color w:val="246B67"/>
          <w:sz w:val="17"/>
        </w:rPr>
        <w:t xml:space="preserve">Tags: </w:t>
      </w:r>
      <w:r>
        <w:rPr>
          <w:rFonts w:ascii="Calibri" w:hAnsi="Calibri"/>
          <w:color w:val="1F2937"/>
          <w:sz w:val="17"/>
        </w:rPr>
        <w:t>PRAISE; QUALITY</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Priority</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E1</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READY AFTER OWNER AWARENESS</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The free gift wrap looked lovely, but the price sticker left a little residue on the book cover. The recipient still liked the gift.</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the kind words about the wrap and for noting the sticker residue on the cover. Gift wrap is available at no added charge for shop purchases, and the packaging detail is specific and useful for owner awareness. We appreciate the balanced feedback. - The Marlowe Street Books &amp; Paper team</w:t>
      </w:r>
    </w:p>
    <w:p>
      <w:pPr>
        <w:pStyle w:val="TraceNote"/>
        <w:keepNext w:val="0"/>
      </w:pPr>
      <w:r>
        <w:t>Trace: review RR-008 + facts BF-005, BF-011, BF-012 | 2 mapped claim row(s) | 53 words</w:t>
      </w:r>
    </w:p>
    <w:p>
      <w:pPr>
        <w:spacing w:before="0" w:after="0"/>
      </w:pPr>
      <w:r>
        <w:br w:type="page"/>
      </w:r>
    </w:p>
    <w:p>
      <w:pPr>
        <w:pStyle w:val="Kicker"/>
      </w:pPr>
      <w:r>
        <w:t>RESPONSE SET 05 | FICTIONAL DEMO</w:t>
      </w:r>
    </w:p>
    <w:p>
      <w:pPr>
        <w:pStyle w:val="Heading1"/>
      </w:pPr>
      <w:r>
        <w:t>RR-009 - RR-010</w:t>
      </w:r>
    </w:p>
    <w:p>
      <w:pPr>
        <w:pStyle w:val="Heading2"/>
        <w:keepNext/>
      </w:pPr>
      <w:r>
        <w:t>RR-009 | 2/5 stars | Negative</w:t>
      </w:r>
    </w:p>
    <w:p>
      <w:pPr>
        <w:pStyle w:val="CardMetadata"/>
        <w:keepNext/>
      </w:pPr>
      <w:r>
        <w:rPr>
          <w:rFonts w:ascii="Calibri" w:hAnsi="Calibri"/>
          <w:b/>
          <w:color w:val="246B67"/>
          <w:sz w:val="17"/>
        </w:rPr>
        <w:t xml:space="preserve">Tags: </w:t>
      </w:r>
      <w:r>
        <w:rPr>
          <w:rFonts w:ascii="Calibri" w:hAnsi="Calibri"/>
          <w:color w:val="1F2937"/>
          <w:sz w:val="17"/>
        </w:rPr>
        <w:t>RETURNS_REFUNDS; COMMUNICATION; EXPECTATION_MISMATCH</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Prompt private follow-up</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E2</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HOLD FOR OWNER REVIEW</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I tried to return an opened journal with my receipt and was told it was final sale. I did not notice that rule when I bought it, so the counter conversation was frustrating.</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explaining what happened at the counter. The return policy accepts unused, unmarked merchandise within 30 days with a receipt; opened journals and clearance items are final sale. We understand that the boundary did not feel clear. Please email hello@marlowestreetbooks.example if you would like a manager to review the interaction privately. - The Marlowe Street Books &amp; Paper team</w:t>
      </w:r>
    </w:p>
    <w:p>
      <w:pPr>
        <w:pStyle w:val="TraceNote"/>
        <w:keepNext/>
      </w:pPr>
      <w:r>
        <w:t>Trace: review RR-009 + facts BF-008, BF-009, BF-011, BF-012, BF-014 | 3 mapped claim row(s) | 61 words</w:t>
      </w:r>
    </w:p>
    <w:p>
      <w:pPr>
        <w:pStyle w:val="BoundaryCallout"/>
        <w:shd w:fill="FFF1D6"/>
        <w:keepNext w:val="0"/>
        <w:keepLines/>
        <w:pBdr>
          <w:left w:val="single" w:sz="18" w:space="8" w:color="C3953D"/>
        </w:pBdr>
      </w:pPr>
      <w:r>
        <w:rPr>
          <w:rFonts w:ascii="Calibri" w:hAnsi="Calibri"/>
          <w:b/>
          <w:color w:val="17324D"/>
          <w:sz w:val="20"/>
        </w:rPr>
        <w:t xml:space="preserve">HOLD FOR OWNER REVIEW: </w:t>
      </w:r>
      <w:r>
        <w:rPr>
          <w:rFonts w:ascii="Calibri" w:hAnsi="Calibri"/>
          <w:color w:val="1F2937"/>
          <w:sz w:val="20"/>
        </w:rPr>
        <w:t>A transaction-specific return interaction may benefit from private manager review; no exception or refund is promised. The public draft uses only the approved .example contact route and makes no outcome promise.</w:t>
      </w:r>
    </w:p>
    <w:p>
      <w:pPr>
        <w:pStyle w:val="Heading2"/>
        <w:keepNext/>
      </w:pPr>
      <w:r>
        <w:t>RR-010 | 5/5 stars | Positive</w:t>
      </w:r>
    </w:p>
    <w:p>
      <w:pPr>
        <w:pStyle w:val="CardMetadata"/>
        <w:keepNext/>
      </w:pPr>
      <w:r>
        <w:rPr>
          <w:rFonts w:ascii="Calibri" w:hAnsi="Calibri"/>
          <w:b/>
          <w:color w:val="246B67"/>
          <w:sz w:val="17"/>
        </w:rPr>
        <w:t xml:space="preserve">Tags: </w:t>
      </w:r>
      <w:r>
        <w:rPr>
          <w:rFonts w:ascii="Calibri" w:hAnsi="Calibri"/>
          <w:color w:val="1F2937"/>
          <w:sz w:val="17"/>
        </w:rPr>
        <w:t>PRAISE; STAFF; QUALITY</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Routine</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E0</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READY FOR BUYER REVIEW</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The children's book section had a thoughtful range, and the staff suggestion was exactly the kind of story I was looking for. The shop felt welcoming without being pushy.</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the generous note about the children's book selection and the staff recommendation. We are glad the range made it easier to find the kind of story you wanted, and we appreciate your description of the shop as welcoming. - The Marlowe Street Books &amp; Paper team</w:t>
      </w:r>
    </w:p>
    <w:p>
      <w:pPr>
        <w:pStyle w:val="TraceNote"/>
        <w:keepNext w:val="0"/>
      </w:pPr>
      <w:r>
        <w:t>Trace: review RR-010 + facts BF-011, BF-012 | 1 mapped claim row(s) | 49 words</w:t>
      </w:r>
    </w:p>
    <w:p>
      <w:pPr>
        <w:spacing w:before="0" w:after="0"/>
      </w:pPr>
      <w:r>
        <w:br w:type="page"/>
      </w:r>
    </w:p>
    <w:p>
      <w:pPr>
        <w:pStyle w:val="Kicker"/>
      </w:pPr>
      <w:r>
        <w:t>RESPONSE SET 06 | FICTIONAL DEMO</w:t>
      </w:r>
    </w:p>
    <w:p>
      <w:pPr>
        <w:pStyle w:val="Heading1"/>
      </w:pPr>
      <w:r>
        <w:t>RR-011 - RR-012</w:t>
      </w:r>
    </w:p>
    <w:p>
      <w:pPr>
        <w:pStyle w:val="Heading2"/>
        <w:keepNext/>
      </w:pPr>
      <w:r>
        <w:t>RR-011 | 3/5 stars | Mixed</w:t>
      </w:r>
    </w:p>
    <w:p>
      <w:pPr>
        <w:pStyle w:val="CardMetadata"/>
        <w:keepNext/>
      </w:pPr>
      <w:r>
        <w:rPr>
          <w:rFonts w:ascii="Calibri" w:hAnsi="Calibri"/>
          <w:b/>
          <w:color w:val="246B67"/>
          <w:sz w:val="17"/>
        </w:rPr>
        <w:t xml:space="preserve">Tags: </w:t>
      </w:r>
      <w:r>
        <w:rPr>
          <w:rFonts w:ascii="Calibri" w:hAnsi="Calibri"/>
          <w:color w:val="1F2937"/>
          <w:sz w:val="17"/>
        </w:rPr>
        <w:t>FACILITY; EXPECTATION_MISMATCH; PRAISE</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Routine</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E0</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READY FOR BUYER REVIEW</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I came to browse quietly, but a reading event made the back nook much louder than expected. The selection was good; I just wish I had known about the event first.</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noting the contrast between the quiet browsing you expected and the event noise you encountered. Scheduled programs take place on the shared sales floor, so the reading nook can be livelier during an event. We appreciate the feedback about setting that expectation clearly. - The Marlowe Street Books &amp; Paper team</w:t>
      </w:r>
    </w:p>
    <w:p>
      <w:pPr>
        <w:pStyle w:val="TraceNote"/>
        <w:keepNext w:val="0"/>
      </w:pPr>
      <w:r>
        <w:t>Trace: review RR-011 + facts BF-010, BF-011, BF-012 | 2 mapped claim row(s) | 54 words</w:t>
      </w:r>
    </w:p>
    <w:p>
      <w:pPr>
        <w:pStyle w:val="Heading2"/>
        <w:keepNext/>
      </w:pPr>
      <w:r>
        <w:t>RR-012 | 1/5 stars | Negative</w:t>
      </w:r>
    </w:p>
    <w:p>
      <w:pPr>
        <w:pStyle w:val="CardMetadata"/>
        <w:keepNext/>
      </w:pPr>
      <w:r>
        <w:rPr>
          <w:rFonts w:ascii="Calibri" w:hAnsi="Calibri"/>
          <w:b/>
          <w:color w:val="246B67"/>
          <w:sz w:val="17"/>
        </w:rPr>
        <w:t xml:space="preserve">Tags: </w:t>
      </w:r>
      <w:r>
        <w:rPr>
          <w:rFonts w:ascii="Calibri" w:hAnsi="Calibri"/>
          <w:color w:val="1F2937"/>
          <w:sz w:val="17"/>
        </w:rPr>
        <w:t>PRICING_BILLING; COMMUNICATION; EXPECTATION_MISMATCH</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Prompt private follow-up</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E2</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HOLD FOR OWNER REVIEW</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The shelf label on a boxed pen set was lower than the price shown at checkout. I left without buying it because I could not tell which price was current.</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flagging the price difference you observed between the shelf label and checkout. We do not want to guess about an item-specific situation in public. Please email hello@marlowestreetbooks.example with the item and visit date so a manager can review the details privately. - The Marlowe Street Books &amp; Paper team</w:t>
      </w:r>
    </w:p>
    <w:p>
      <w:pPr>
        <w:pStyle w:val="TraceNote"/>
        <w:keepNext/>
      </w:pPr>
      <w:r>
        <w:t>Trace: review RR-012 + facts BF-009, BF-011, BF-012, BF-014 | 2 mapped claim row(s) | 52 words</w:t>
      </w:r>
    </w:p>
    <w:p>
      <w:pPr>
        <w:pStyle w:val="BoundaryCallout"/>
        <w:shd w:fill="FFF1D6"/>
        <w:keepNext w:val="0"/>
        <w:keepLines/>
        <w:pBdr>
          <w:left w:val="single" w:sz="18" w:space="8" w:color="C3953D"/>
        </w:pBdr>
      </w:pPr>
      <w:r>
        <w:rPr>
          <w:rFonts w:ascii="Calibri" w:hAnsi="Calibri"/>
          <w:b/>
          <w:color w:val="17324D"/>
          <w:sz w:val="20"/>
        </w:rPr>
        <w:t xml:space="preserve">HOLD FOR OWNER REVIEW: </w:t>
      </w:r>
      <w:r>
        <w:rPr>
          <w:rFonts w:ascii="Calibri" w:hAnsi="Calibri"/>
          <w:color w:val="1F2937"/>
          <w:sz w:val="20"/>
        </w:rPr>
        <w:t>An item-specific price-label concern needs private manager review; the public draft avoids guessing or promising compensation. The public draft uses only the approved .example contact route and makes no outcome promise.</w:t>
      </w:r>
    </w:p>
    <w:p>
      <w:pPr>
        <w:spacing w:before="0" w:after="0"/>
      </w:pPr>
      <w:r>
        <w:br w:type="page"/>
      </w:r>
    </w:p>
    <w:p>
      <w:pPr>
        <w:pStyle w:val="Kicker"/>
      </w:pPr>
      <w:r>
        <w:t>RESPONSE SET 07 | FICTIONAL DEMO</w:t>
      </w:r>
    </w:p>
    <w:p>
      <w:pPr>
        <w:pStyle w:val="Heading1"/>
      </w:pPr>
      <w:r>
        <w:t>RR-013 - RR-014</w:t>
      </w:r>
    </w:p>
    <w:p>
      <w:pPr>
        <w:pStyle w:val="Heading2"/>
        <w:keepNext/>
      </w:pPr>
      <w:r>
        <w:t>RR-013 | 4/5 stars | Mixed</w:t>
      </w:r>
    </w:p>
    <w:p>
      <w:pPr>
        <w:pStyle w:val="CardMetadata"/>
        <w:keepNext/>
      </w:pPr>
      <w:r>
        <w:rPr>
          <w:rFonts w:ascii="Calibri" w:hAnsi="Calibri"/>
          <w:b/>
          <w:color w:val="246B67"/>
          <w:sz w:val="17"/>
        </w:rPr>
        <w:t xml:space="preserve">Tags: </w:t>
      </w:r>
      <w:r>
        <w:rPr>
          <w:rFonts w:ascii="Calibri" w:hAnsi="Calibri"/>
          <w:color w:val="1F2937"/>
          <w:sz w:val="17"/>
        </w:rPr>
        <w:t>STAFF; SPEED_WAIT; PRAISE</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Routine</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E0</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READY FOR BUYER REVIEW</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The staff member helped me compare three travel guides and never rushed me. The checkout line moved slowly, though, and I waited longer there than I did choosing the book.</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recognizing the patient help with the travel guides and for being candid about the slower checkout line. We appreciate the balanced account of what worked well and where the visit felt less smooth. - The Marlowe Street Books &amp; Paper team</w:t>
      </w:r>
    </w:p>
    <w:p>
      <w:pPr>
        <w:pStyle w:val="TraceNote"/>
        <w:keepNext w:val="0"/>
      </w:pPr>
      <w:r>
        <w:t>Trace: review RR-013 + facts BF-011, BF-012 | 1 mapped claim row(s) | 44 words</w:t>
      </w:r>
    </w:p>
    <w:p>
      <w:pPr>
        <w:pStyle w:val="Heading2"/>
        <w:keepNext/>
      </w:pPr>
      <w:r>
        <w:t>RR-014 | 2/5 stars | Negative</w:t>
      </w:r>
    </w:p>
    <w:p>
      <w:pPr>
        <w:pStyle w:val="CardMetadata"/>
        <w:keepNext/>
      </w:pPr>
      <w:r>
        <w:rPr>
          <w:rFonts w:ascii="Calibri" w:hAnsi="Calibri"/>
          <w:b/>
          <w:color w:val="246B67"/>
          <w:sz w:val="17"/>
        </w:rPr>
        <w:t xml:space="preserve">Tags: </w:t>
      </w:r>
      <w:r>
        <w:rPr>
          <w:rFonts w:ascii="Calibri" w:hAnsi="Calibri"/>
          <w:color w:val="1F2937"/>
          <w:sz w:val="17"/>
        </w:rPr>
        <w:t>COMMUNICATION; EXPECTATION_MISMATCH; AVAILABILITY</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Priority</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E1</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READY AFTER OWNER AWARENESS</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A public listing showed the shop as open on Monday, but the door was closed when I arrived. It was a wasted trip, and the conflicting hours were frustrating.</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calling out the conflicting hours information. The Bellweather shop is closed Monday, open Tuesday through Saturday from 10:00 a.m. to 7:00 p.m., and Sunday from 11:00 a.m. to 5:00 p.m. We understand how frustrating it was to arrive expecting an open door. - The Marlowe Street Books &amp; Paper team</w:t>
      </w:r>
    </w:p>
    <w:p>
      <w:pPr>
        <w:pStyle w:val="TraceNote"/>
        <w:keepNext w:val="0"/>
      </w:pPr>
      <w:r>
        <w:t>Trace: review RR-014 + facts BF-002, BF-011, BF-012 | 2 mapped claim row(s) | 53 words</w:t>
      </w:r>
    </w:p>
    <w:p>
      <w:pPr>
        <w:spacing w:before="0" w:after="0"/>
      </w:pPr>
      <w:r>
        <w:br w:type="page"/>
      </w:r>
    </w:p>
    <w:p>
      <w:pPr>
        <w:pStyle w:val="Kicker"/>
      </w:pPr>
      <w:r>
        <w:t>RESPONSE SET 08 | FICTIONAL DEMO</w:t>
      </w:r>
    </w:p>
    <w:p>
      <w:pPr>
        <w:pStyle w:val="Heading1"/>
      </w:pPr>
      <w:r>
        <w:t>RR-015 - RR-016</w:t>
      </w:r>
    </w:p>
    <w:p>
      <w:pPr>
        <w:pStyle w:val="Heading2"/>
        <w:keepNext/>
      </w:pPr>
      <w:r>
        <w:t>RR-015 | 5/5 stars | Positive</w:t>
      </w:r>
    </w:p>
    <w:p>
      <w:pPr>
        <w:pStyle w:val="CardMetadata"/>
        <w:keepNext/>
      </w:pPr>
      <w:r>
        <w:rPr>
          <w:rFonts w:ascii="Calibri" w:hAnsi="Calibri"/>
          <w:b/>
          <w:color w:val="246B67"/>
          <w:sz w:val="17"/>
        </w:rPr>
        <w:t xml:space="preserve">Tags: </w:t>
      </w:r>
      <w:r>
        <w:rPr>
          <w:rFonts w:ascii="Calibri" w:hAnsi="Calibri"/>
          <w:color w:val="1F2937"/>
          <w:sz w:val="17"/>
        </w:rPr>
        <w:t>PRAISE; DELIVERY; STAFF</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Routine</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E0</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READY FOR BUYER REVIEW</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Curbside pickup was easy once the confirmation arrived. I sent the requested arrival message, and the handoff was calm and friendly during a busy afternoon.</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sharing that the confirmed curbside pickup and friendly handoff worked well during a busy afternoon. Curbside pickup is available during open hours for confirmed reservations, and we appreciate the clear description of your experience. - The Marlowe Street Books &amp; Paper team</w:t>
      </w:r>
    </w:p>
    <w:p>
      <w:pPr>
        <w:pStyle w:val="TraceNote"/>
        <w:keepNext w:val="0"/>
      </w:pPr>
      <w:r>
        <w:t>Trace: review RR-015 + facts BF-004, BF-011, BF-012 | 2 mapped claim row(s) | 45 words</w:t>
      </w:r>
    </w:p>
    <w:p>
      <w:pPr>
        <w:pStyle w:val="Heading2"/>
        <w:keepNext/>
      </w:pPr>
      <w:r>
        <w:t>RR-016 | 3/5 stars | Mixed</w:t>
      </w:r>
    </w:p>
    <w:p>
      <w:pPr>
        <w:pStyle w:val="CardMetadata"/>
        <w:keepNext/>
      </w:pPr>
      <w:r>
        <w:rPr>
          <w:rFonts w:ascii="Calibri" w:hAnsi="Calibri"/>
          <w:b/>
          <w:color w:val="246B67"/>
          <w:sz w:val="17"/>
        </w:rPr>
        <w:t xml:space="preserve">Tags: </w:t>
      </w:r>
      <w:r>
        <w:rPr>
          <w:rFonts w:ascii="Calibri" w:hAnsi="Calibri"/>
          <w:color w:val="1F2937"/>
          <w:sz w:val="17"/>
        </w:rPr>
        <w:t>QUALITY; DELIVERY</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Prompt private follow-up</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E2</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HOLD FOR OWNER REVIEW</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The book was ready for pickup, but one corner of the cover was bent when I opened the paper bag at home. I would have liked the condition checked before handoff.</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describing the bent corner you noticed after pickup. We cannot assess an item-specific condition in a public reply, but a manager can review the record privately. Please email hello@marlowestreetbooks.example with the order reference and pickup date. We appreciate the clear detail. - The Marlowe Street Books &amp; Paper team</w:t>
      </w:r>
    </w:p>
    <w:p>
      <w:pPr>
        <w:pStyle w:val="TraceNote"/>
        <w:keepNext/>
      </w:pPr>
      <w:r>
        <w:t>Trace: review RR-016 + facts BF-009, BF-011, BF-012, BF-014 | 2 mapped claim row(s) | 52 words</w:t>
      </w:r>
    </w:p>
    <w:p>
      <w:pPr>
        <w:pStyle w:val="BoundaryCallout"/>
        <w:shd w:fill="FFF1D6"/>
        <w:keepNext w:val="0"/>
        <w:keepLines/>
        <w:pBdr>
          <w:left w:val="single" w:sz="18" w:space="8" w:color="C3953D"/>
        </w:pBdr>
      </w:pPr>
      <w:r>
        <w:rPr>
          <w:rFonts w:ascii="Calibri" w:hAnsi="Calibri"/>
          <w:b/>
          <w:color w:val="17324D"/>
          <w:sz w:val="20"/>
        </w:rPr>
        <w:t xml:space="preserve">HOLD FOR OWNER REVIEW: </w:t>
      </w:r>
      <w:r>
        <w:rPr>
          <w:rFonts w:ascii="Calibri" w:hAnsi="Calibri"/>
          <w:color w:val="1F2937"/>
          <w:sz w:val="20"/>
        </w:rPr>
        <w:t>An item-specific condition concern may need private manager review; no replacement is promised. The public draft uses only the approved .example contact route and makes no outcome promise.</w:t>
      </w:r>
    </w:p>
    <w:p>
      <w:pPr>
        <w:spacing w:before="0" w:after="0"/>
      </w:pPr>
      <w:r>
        <w:br w:type="page"/>
      </w:r>
    </w:p>
    <w:p>
      <w:pPr>
        <w:pStyle w:val="Kicker"/>
      </w:pPr>
      <w:r>
        <w:t>RESPONSE SET 09 | FICTIONAL DEMO</w:t>
      </w:r>
    </w:p>
    <w:p>
      <w:pPr>
        <w:pStyle w:val="Heading1"/>
      </w:pPr>
      <w:r>
        <w:t>RR-017 - RR-018</w:t>
      </w:r>
    </w:p>
    <w:p>
      <w:pPr>
        <w:pStyle w:val="Heading2"/>
        <w:keepNext/>
      </w:pPr>
      <w:r>
        <w:t>RR-017 | 2/5 stars | Negative</w:t>
      </w:r>
    </w:p>
    <w:p>
      <w:pPr>
        <w:pStyle w:val="CardMetadata"/>
        <w:keepNext/>
      </w:pPr>
      <w:r>
        <w:rPr>
          <w:rFonts w:ascii="Calibri" w:hAnsi="Calibri"/>
          <w:b/>
          <w:color w:val="246B67"/>
          <w:sz w:val="17"/>
        </w:rPr>
        <w:t xml:space="preserve">Tags: </w:t>
      </w:r>
      <w:r>
        <w:rPr>
          <w:rFonts w:ascii="Calibri" w:hAnsi="Calibri"/>
          <w:color w:val="1F2937"/>
          <w:sz w:val="17"/>
        </w:rPr>
        <w:t>STAFF; COMMUNICATION; AVAILABILITY</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Priority</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E1</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READY AFTER OWNER AWARENESS</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When I asked whether another copy might be available, the reply at the counter felt dismissive. No one used rude words, but I left feeling that my question was a bother.</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describing how the availability question felt at the counter. We can acknowledge that experience without making assumptions about the exchange, and your note is important for owner awareness. We appreciate the direct, specific feedback. - The Marlowe Street Books &amp; Paper team</w:t>
      </w:r>
    </w:p>
    <w:p>
      <w:pPr>
        <w:pStyle w:val="TraceNote"/>
        <w:keepNext w:val="0"/>
      </w:pPr>
      <w:r>
        <w:t>Trace: review RR-017 + facts BF-011, BF-012, BF-013 | 1 mapped claim row(s) | 45 words</w:t>
      </w:r>
    </w:p>
    <w:p>
      <w:pPr>
        <w:pStyle w:val="Heading2"/>
        <w:keepNext/>
      </w:pPr>
      <w:r>
        <w:t>RR-018 | 4/5 stars | Mixed</w:t>
      </w:r>
    </w:p>
    <w:p>
      <w:pPr>
        <w:pStyle w:val="CardMetadata"/>
        <w:keepNext/>
      </w:pPr>
      <w:r>
        <w:rPr>
          <w:rFonts w:ascii="Calibri" w:hAnsi="Calibri"/>
          <w:b/>
          <w:color w:val="246B67"/>
          <w:sz w:val="17"/>
        </w:rPr>
        <w:t xml:space="preserve">Tags: </w:t>
      </w:r>
      <w:r>
        <w:rPr>
          <w:rFonts w:ascii="Calibri" w:hAnsi="Calibri"/>
          <w:color w:val="1F2937"/>
          <w:sz w:val="17"/>
        </w:rPr>
        <w:t>PRAISE; SPEED_WAIT; COMMUNICATION</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Routine</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E0</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READY FOR BUYER REVIEW</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My special order arrived and the pickup message was friendly, but the wait was longer than I had expected. I would order again if the timing were explained more clearly at the start.</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the balanced note about the friendly pickup message and the longer-than-expected wait. Special-order timing can vary with distributor availability, and a pickup notice is sent after an item arrives. We appreciate the detail about what worked and what could have been clearer. - The Marlowe Street Books &amp; Paper team</w:t>
      </w:r>
    </w:p>
    <w:p>
      <w:pPr>
        <w:pStyle w:val="TraceNote"/>
        <w:keepNext w:val="0"/>
      </w:pPr>
      <w:r>
        <w:t>Trace: review RR-018 + facts BF-006, BF-011, BF-012 | 2 mapped claim row(s) | 53 words</w:t>
      </w:r>
    </w:p>
    <w:p>
      <w:pPr>
        <w:spacing w:before="0" w:after="0"/>
      </w:pPr>
      <w:r>
        <w:br w:type="page"/>
      </w:r>
    </w:p>
    <w:p>
      <w:pPr>
        <w:pStyle w:val="Kicker"/>
      </w:pPr>
      <w:r>
        <w:t>RESPONSE SET 10 | FICTIONAL DEMO</w:t>
      </w:r>
    </w:p>
    <w:p>
      <w:pPr>
        <w:pStyle w:val="Heading1"/>
      </w:pPr>
      <w:r>
        <w:t>RR-019 - RR-020</w:t>
      </w:r>
    </w:p>
    <w:p>
      <w:pPr>
        <w:pStyle w:val="Heading2"/>
        <w:keepNext/>
      </w:pPr>
      <w:r>
        <w:t>RR-019 | 1/5 stars | Negative</w:t>
      </w:r>
    </w:p>
    <w:p>
      <w:pPr>
        <w:pStyle w:val="CardMetadata"/>
        <w:keepNext/>
      </w:pPr>
      <w:r>
        <w:rPr>
          <w:rFonts w:ascii="Calibri" w:hAnsi="Calibri"/>
          <w:b/>
          <w:color w:val="246B67"/>
          <w:sz w:val="17"/>
        </w:rPr>
        <w:t xml:space="preserve">Tags: </w:t>
      </w:r>
      <w:r>
        <w:rPr>
          <w:rFonts w:ascii="Calibri" w:hAnsi="Calibri"/>
          <w:color w:val="1F2937"/>
          <w:sz w:val="17"/>
        </w:rPr>
        <w:t>AVAILABILITY; COMMUNICATION; EXPECTATION_MISMATCH</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Prompt private follow-up</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E2</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HOLD FOR OWNER REVIEW</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I submitted a reservation for the last copy shown online, never received a confirmation, and later learned the book was unavailable. The request screen made me think it was already being held.</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explaining the reservation confusion. An online request is secured only after confirmation, and the availability guide can lag after a last-copy sale. Please email hello@marlowestreetbooks.example with the request reference and approximate date so a manager can review the specific record privately. - The Marlowe Street Books &amp; Paper team</w:t>
      </w:r>
    </w:p>
    <w:p>
      <w:pPr>
        <w:pStyle w:val="TraceNote"/>
        <w:keepNext/>
      </w:pPr>
      <w:r>
        <w:t>Trace: review RR-019 + facts BF-003, BF-009, BF-011, BF-012, BF-014 | 3 mapped claim row(s) | 52 words</w:t>
      </w:r>
    </w:p>
    <w:p>
      <w:pPr>
        <w:pStyle w:val="BoundaryCallout"/>
        <w:shd w:fill="FFF1D6"/>
        <w:keepNext w:val="0"/>
        <w:keepLines/>
        <w:pBdr>
          <w:left w:val="single" w:sz="18" w:space="8" w:color="C3953D"/>
        </w:pBdr>
      </w:pPr>
      <w:r>
        <w:rPr>
          <w:rFonts w:ascii="Calibri" w:hAnsi="Calibri"/>
          <w:b/>
          <w:color w:val="17324D"/>
          <w:sz w:val="20"/>
        </w:rPr>
        <w:t xml:space="preserve">HOLD FOR OWNER REVIEW: </w:t>
      </w:r>
      <w:r>
        <w:rPr>
          <w:rFonts w:ascii="Calibri" w:hAnsi="Calibri"/>
          <w:color w:val="1F2937"/>
          <w:sz w:val="20"/>
        </w:rPr>
        <w:t>A reservation-specific record and unclear request state may need private manager review. The public draft uses only the approved .example contact route and makes no outcome promise.</w:t>
      </w:r>
    </w:p>
    <w:p>
      <w:pPr>
        <w:pStyle w:val="Heading2"/>
        <w:keepNext/>
      </w:pPr>
      <w:r>
        <w:t>RR-020 | 5/5 stars | Positive</w:t>
      </w:r>
    </w:p>
    <w:p>
      <w:pPr>
        <w:pStyle w:val="CardMetadata"/>
        <w:keepNext/>
      </w:pPr>
      <w:r>
        <w:rPr>
          <w:rFonts w:ascii="Calibri" w:hAnsi="Calibri"/>
          <w:b/>
          <w:color w:val="246B67"/>
          <w:sz w:val="17"/>
        </w:rPr>
        <w:t xml:space="preserve">Tags: </w:t>
      </w:r>
      <w:r>
        <w:rPr>
          <w:rFonts w:ascii="Calibri" w:hAnsi="Calibri"/>
          <w:color w:val="1F2937"/>
          <w:sz w:val="17"/>
        </w:rPr>
        <w:t>PRAISE; QUALITY; FACILITY</w:t>
      </w:r>
      <w:r>
        <w:rPr>
          <w:rFonts w:ascii="Calibri" w:hAnsi="Calibri"/>
          <w:color w:val="60707D"/>
          <w:sz w:val="17"/>
        </w:rPr>
        <w:t xml:space="preserve">   |   </w:t>
      </w:r>
      <w:r>
        <w:rPr>
          <w:rFonts w:ascii="Calibri" w:hAnsi="Calibri"/>
          <w:b/>
          <w:color w:val="246B67"/>
          <w:sz w:val="17"/>
        </w:rPr>
        <w:t xml:space="preserve">Urgency: </w:t>
      </w:r>
      <w:r>
        <w:rPr>
          <w:rFonts w:ascii="Calibri" w:hAnsi="Calibri"/>
          <w:color w:val="1F2937"/>
          <w:sz w:val="17"/>
        </w:rPr>
        <w:t>Routine</w:t>
      </w:r>
      <w:r>
        <w:rPr>
          <w:rFonts w:ascii="Calibri" w:hAnsi="Calibri"/>
          <w:color w:val="60707D"/>
          <w:sz w:val="17"/>
        </w:rPr>
        <w:t xml:space="preserve">   |   </w:t>
      </w:r>
      <w:r>
        <w:rPr>
          <w:rFonts w:ascii="Calibri" w:hAnsi="Calibri"/>
          <w:b/>
          <w:color w:val="246B67"/>
          <w:sz w:val="17"/>
        </w:rPr>
        <w:t xml:space="preserve">Tier: </w:t>
      </w:r>
      <w:r>
        <w:rPr>
          <w:rFonts w:ascii="Calibri" w:hAnsi="Calibri"/>
          <w:color w:val="1F2937"/>
          <w:sz w:val="17"/>
        </w:rPr>
        <w:t>E0</w:t>
      </w:r>
      <w:r>
        <w:rPr>
          <w:rFonts w:ascii="Calibri" w:hAnsi="Calibri"/>
          <w:color w:val="60707D"/>
          <w:sz w:val="17"/>
        </w:rPr>
        <w:t xml:space="preserve">   |   </w:t>
      </w:r>
      <w:r>
        <w:rPr>
          <w:rFonts w:ascii="Calibri" w:hAnsi="Calibri"/>
          <w:b/>
          <w:color w:val="246B67"/>
          <w:sz w:val="17"/>
        </w:rPr>
        <w:t xml:space="preserve">Disposition: </w:t>
      </w:r>
      <w:r>
        <w:rPr>
          <w:rFonts w:ascii="Calibri" w:hAnsi="Calibri"/>
          <w:color w:val="1F2937"/>
          <w:sz w:val="17"/>
        </w:rPr>
        <w:t>READY FOR BUYER REVIEW</w:t>
      </w:r>
    </w:p>
    <w:p>
      <w:pPr>
        <w:pStyle w:val="CardText"/>
        <w:keepNext/>
        <w:shd w:fill="F2F4F7"/>
        <w:pBdr>
          <w:left w:val="single" w:sz="18" w:space="8" w:color="60707D"/>
        </w:pBdr>
      </w:pPr>
      <w:r>
        <w:rPr>
          <w:rFonts w:ascii="Calibri" w:hAnsi="Calibri"/>
          <w:b/>
          <w:color w:val="60707D"/>
          <w:sz w:val="16"/>
        </w:rPr>
        <w:t>ORIGINAL REVIEW</w:t>
        <w:br/>
      </w:r>
      <w:r>
        <w:rPr>
          <w:rFonts w:ascii="Calibri" w:hAnsi="Calibri"/>
          <w:i/>
          <w:color w:val="1F2937"/>
          <w:sz w:val="19"/>
        </w:rPr>
        <w:t>I came for the local history talk and stayed to browse the stationery wall. The speaker was engaging, the room felt friendly, and the card selection was better than I expected.</w:t>
      </w:r>
    </w:p>
    <w:p>
      <w:pPr>
        <w:pStyle w:val="CardText"/>
        <w:keepNext/>
        <w:shd w:fill="E8F4F1"/>
        <w:pBdr>
          <w:left w:val="single" w:sz="18" w:space="8" w:color="246B67"/>
        </w:pBdr>
      </w:pPr>
      <w:r>
        <w:rPr>
          <w:rFonts w:ascii="Calibri" w:hAnsi="Calibri"/>
          <w:b/>
          <w:color w:val="246B67"/>
          <w:sz w:val="16"/>
        </w:rPr>
        <w:t>DRAFTED OWNER RESPONSE</w:t>
        <w:br/>
      </w:r>
      <w:r>
        <w:rPr>
          <w:rFonts w:ascii="Calibri" w:hAnsi="Calibri"/>
          <w:color w:val="1F2937"/>
          <w:sz w:val="19"/>
        </w:rPr>
        <w:t>Thank you for joining the local history talk and for staying to browse the stationery and card selection. We are glad the speaker, the room, and the product range made the visit feel worthwhile. - The Marlowe Street Books &amp; Paper team</w:t>
      </w:r>
    </w:p>
    <w:p>
      <w:pPr>
        <w:pStyle w:val="TraceNote"/>
        <w:keepNext w:val="0"/>
      </w:pPr>
      <w:r>
        <w:t>Trace: review RR-020 + facts BF-011, BF-012 | 1 mapped claim row(s) | 42 words</w:t>
      </w:r>
    </w:p>
    <w:p>
      <w:pPr>
        <w:spacing w:before="0" w:after="0"/>
      </w:pPr>
      <w:r>
        <w:br w:type="page"/>
      </w:r>
    </w:p>
    <w:p>
      <w:pPr>
        <w:pStyle w:val="Kicker"/>
      </w:pPr>
      <w:r>
        <w:t>TRACEABILITY APPENDIX</w:t>
      </w:r>
    </w:p>
    <w:p>
      <w:pPr>
        <w:pStyle w:val="Heading1"/>
      </w:pPr>
      <w:r>
        <w:t>Verified fictional fact library</w:t>
      </w:r>
    </w:p>
    <w:p>
      <w:pPr>
        <w:pStyle w:val="TableNote"/>
      </w:pPr>
      <w:r>
        <w:t>These are the only business-specific facts used by the public drafts. Full allowed-use notes also appear in the workbook.</w:t>
      </w:r>
    </w:p>
    <w:tbl>
      <w:tblPr>
        <w:tblW w:type="dxa" w:w="9360"/>
        <w:tblLayout w:type="fixed"/>
        <w:tblLook w:firstColumn="1" w:firstRow="1" w:lastColumn="0" w:lastRow="0" w:noHBand="0" w:noVBand="1" w:val="04A0"/>
        <w:tblInd w:w="120" w:type="dxa"/>
        <w:tblBorders>
          <w:top w:val="single" w:sz="4" w:space="0" w:color="D6DEE3"/>
          <w:left w:val="single" w:sz="4" w:space="0" w:color="D6DEE3"/>
          <w:bottom w:val="single" w:sz="4" w:space="0" w:color="D6DEE3"/>
          <w:right w:val="single" w:sz="4" w:space="0" w:color="D6DEE3"/>
          <w:insideH w:val="single" w:sz="4" w:space="0" w:color="D6DEE3"/>
          <w:insideV w:val="single" w:sz="4" w:space="0" w:color="D6DEE3"/>
        </w:tblBorders>
      </w:tblPr>
      <w:tblGrid>
        <w:gridCol w:w="950"/>
        <w:gridCol w:w="2100"/>
        <w:gridCol w:w="6310"/>
      </w:tblGrid>
      <w:tr>
        <w:trPr>
          <w:cantSplit/>
          <w:tblHeader w:val="true"/>
        </w:trPr>
        <w:tc>
          <w:tcPr>
            <w:tcW w:type="dxa" w:w="950"/>
            <w:tcMar>
              <w:top w:w="80" w:type="dxa"/>
              <w:bottom w:w="80" w:type="dxa"/>
              <w:start w:w="120" w:type="dxa"/>
              <w:end w:w="120" w:type="dxa"/>
            </w:tcMar>
            <w:vAlign w:val="center"/>
            <w:shd w:fill="246B67"/>
          </w:tcPr>
          <w:p>
            <w:pPr>
              <w:spacing w:before="0" w:after="0" w:line="259" w:lineRule="auto"/>
            </w:pPr>
            <w:r>
              <w:rPr>
                <w:rFonts w:ascii="Calibri" w:hAnsi="Calibri"/>
                <w:b/>
                <w:color w:val="FFFFFF"/>
                <w:sz w:val="16"/>
              </w:rPr>
              <w:t>Fact ID</w:t>
            </w:r>
          </w:p>
        </w:tc>
        <w:tc>
          <w:tcPr>
            <w:tcW w:type="dxa" w:w="2100"/>
            <w:tcMar>
              <w:top w:w="80" w:type="dxa"/>
              <w:bottom w:w="80" w:type="dxa"/>
              <w:start w:w="120" w:type="dxa"/>
              <w:end w:w="120" w:type="dxa"/>
            </w:tcMar>
            <w:vAlign w:val="center"/>
            <w:shd w:fill="246B67"/>
          </w:tcPr>
          <w:p>
            <w:pPr>
              <w:spacing w:before="0" w:after="0" w:line="259" w:lineRule="auto"/>
            </w:pPr>
            <w:r>
              <w:rPr>
                <w:rFonts w:ascii="Calibri" w:hAnsi="Calibri"/>
                <w:b/>
                <w:color w:val="FFFFFF"/>
                <w:sz w:val="16"/>
              </w:rPr>
              <w:t>Topic</w:t>
            </w:r>
          </w:p>
        </w:tc>
        <w:tc>
          <w:tcPr>
            <w:tcW w:type="dxa" w:w="6310"/>
            <w:tcMar>
              <w:top w:w="80" w:type="dxa"/>
              <w:bottom w:w="80" w:type="dxa"/>
              <w:start w:w="120" w:type="dxa"/>
              <w:end w:w="120" w:type="dxa"/>
            </w:tcMar>
            <w:vAlign w:val="center"/>
            <w:shd w:fill="246B67"/>
          </w:tcPr>
          <w:p>
            <w:pPr>
              <w:spacing w:before="0" w:after="0" w:line="259" w:lineRule="auto"/>
            </w:pPr>
            <w:r>
              <w:rPr>
                <w:rFonts w:ascii="Calibri" w:hAnsi="Calibri"/>
                <w:b/>
                <w:color w:val="FFFFFF"/>
                <w:sz w:val="16"/>
              </w:rPr>
              <w:t>Verified fictional fact</w:t>
            </w:r>
          </w:p>
        </w:tc>
      </w:tr>
      <w:tr>
        <w:trPr>
          <w:cantSplit/>
        </w:trPr>
        <w:tc>
          <w:tcPr>
            <w:tcW w:type="dxa" w:w="950"/>
            <w:tcMar>
              <w:top w:w="80" w:type="dxa"/>
              <w:bottom w:w="80" w:type="dxa"/>
              <w:start w:w="120" w:type="dxa"/>
              <w:end w:w="120" w:type="dxa"/>
            </w:tcMar>
            <w:vAlign w:val="center"/>
          </w:tcPr>
          <w:p>
            <w:pPr>
              <w:spacing w:before="0" w:after="0" w:line="259" w:lineRule="auto"/>
            </w:pPr>
            <w:r>
              <w:rPr>
                <w:rFonts w:ascii="Calibri" w:hAnsi="Calibri"/>
                <w:color w:val="1F2937"/>
                <w:sz w:val="16"/>
              </w:rPr>
              <w:t>BF-001</w:t>
            </w:r>
          </w:p>
        </w:tc>
        <w:tc>
          <w:tcPr>
            <w:tcW w:type="dxa" w:w="2100"/>
            <w:tcMar>
              <w:top w:w="80" w:type="dxa"/>
              <w:bottom w:w="80" w:type="dxa"/>
              <w:start w:w="120" w:type="dxa"/>
              <w:end w:w="120" w:type="dxa"/>
            </w:tcMar>
            <w:vAlign w:val="center"/>
          </w:tcPr>
          <w:p>
            <w:pPr>
              <w:spacing w:before="0" w:after="0" w:line="259" w:lineRule="auto"/>
            </w:pPr>
            <w:r>
              <w:rPr>
                <w:rFonts w:ascii="Calibri" w:hAnsi="Calibri"/>
                <w:color w:val="1F2937"/>
                <w:sz w:val="16"/>
              </w:rPr>
              <w:t>Business identity</w:t>
            </w:r>
          </w:p>
        </w:tc>
        <w:tc>
          <w:tcPr>
            <w:tcW w:type="dxa" w:w="6310"/>
            <w:tcMar>
              <w:top w:w="80" w:type="dxa"/>
              <w:bottom w:w="80" w:type="dxa"/>
              <w:start w:w="120" w:type="dxa"/>
              <w:end w:w="120" w:type="dxa"/>
            </w:tcMar>
            <w:vAlign w:val="center"/>
          </w:tcPr>
          <w:p>
            <w:pPr>
              <w:spacing w:before="0" w:after="0" w:line="259" w:lineRule="auto"/>
            </w:pPr>
            <w:r>
              <w:rPr>
                <w:rFonts w:ascii="Calibri" w:hAnsi="Calibri"/>
                <w:color w:val="1F2937"/>
                <w:sz w:val="16"/>
              </w:rPr>
              <w:t>Marlowe Street Books &amp; Paper is a fictional independent neighborhood bookstore and stationery shop at one fictional Bellweather location.</w:t>
            </w:r>
          </w:p>
        </w:tc>
      </w:tr>
      <w:tr>
        <w:trPr>
          <w:cantSplit/>
        </w:trPr>
        <w:tc>
          <w:tcPr>
            <w:tcW w:type="dxa" w:w="95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BF-002</w:t>
            </w:r>
          </w:p>
        </w:tc>
        <w:tc>
          <w:tcPr>
            <w:tcW w:type="dxa" w:w="21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Public hours</w:t>
            </w:r>
          </w:p>
        </w:tc>
        <w:tc>
          <w:tcPr>
            <w:tcW w:type="dxa" w:w="631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The Bellweather shop is open Tuesday through Saturday from 10:00 a.m. to 7:00 p.m., Sunday from 11:00 a.m. to 5:00 p.m., and closed Monday.</w:t>
            </w:r>
          </w:p>
        </w:tc>
      </w:tr>
      <w:tr>
        <w:trPr>
          <w:cantSplit/>
        </w:trPr>
        <w:tc>
          <w:tcPr>
            <w:tcW w:type="dxa" w:w="950"/>
            <w:tcMar>
              <w:top w:w="80" w:type="dxa"/>
              <w:bottom w:w="80" w:type="dxa"/>
              <w:start w:w="120" w:type="dxa"/>
              <w:end w:w="120" w:type="dxa"/>
            </w:tcMar>
            <w:vAlign w:val="center"/>
          </w:tcPr>
          <w:p>
            <w:pPr>
              <w:spacing w:before="0" w:after="0" w:line="259" w:lineRule="auto"/>
            </w:pPr>
            <w:r>
              <w:rPr>
                <w:rFonts w:ascii="Calibri" w:hAnsi="Calibri"/>
                <w:color w:val="1F2937"/>
                <w:sz w:val="16"/>
              </w:rPr>
              <w:t>BF-003</w:t>
            </w:r>
          </w:p>
        </w:tc>
        <w:tc>
          <w:tcPr>
            <w:tcW w:type="dxa" w:w="2100"/>
            <w:tcMar>
              <w:top w:w="80" w:type="dxa"/>
              <w:bottom w:w="80" w:type="dxa"/>
              <w:start w:w="120" w:type="dxa"/>
              <w:end w:w="120" w:type="dxa"/>
            </w:tcMar>
            <w:vAlign w:val="center"/>
          </w:tcPr>
          <w:p>
            <w:pPr>
              <w:spacing w:before="0" w:after="0" w:line="259" w:lineRule="auto"/>
            </w:pPr>
            <w:r>
              <w:rPr>
                <w:rFonts w:ascii="Calibri" w:hAnsi="Calibri"/>
                <w:color w:val="1F2937"/>
                <w:sz w:val="16"/>
              </w:rPr>
              <w:t>Online availability and reservations</w:t>
            </w:r>
          </w:p>
        </w:tc>
        <w:tc>
          <w:tcPr>
            <w:tcW w:type="dxa" w:w="6310"/>
            <w:tcMar>
              <w:top w:w="80" w:type="dxa"/>
              <w:bottom w:w="80" w:type="dxa"/>
              <w:start w:w="120" w:type="dxa"/>
              <w:end w:w="120" w:type="dxa"/>
            </w:tcMar>
            <w:vAlign w:val="center"/>
          </w:tcPr>
          <w:p>
            <w:pPr>
              <w:spacing w:before="0" w:after="0" w:line="259" w:lineRule="auto"/>
            </w:pPr>
            <w:r>
              <w:rPr>
                <w:rFonts w:ascii="Calibri" w:hAnsi="Calibri"/>
                <w:color w:val="1F2937"/>
                <w:sz w:val="16"/>
              </w:rPr>
              <w:t>The online availability guide is updated in batches and can lag after busy periods or a last-copy sale. A reservation is secured only after a confirmation message is sent.</w:t>
            </w:r>
          </w:p>
        </w:tc>
      </w:tr>
      <w:tr>
        <w:trPr>
          <w:cantSplit/>
        </w:trPr>
        <w:tc>
          <w:tcPr>
            <w:tcW w:type="dxa" w:w="95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BF-004</w:t>
            </w:r>
          </w:p>
        </w:tc>
        <w:tc>
          <w:tcPr>
            <w:tcW w:type="dxa" w:w="21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Curbside pickup</w:t>
            </w:r>
          </w:p>
        </w:tc>
        <w:tc>
          <w:tcPr>
            <w:tcW w:type="dxa" w:w="631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Curbside pickup is available during open hours for confirmed reservations.</w:t>
            </w:r>
          </w:p>
        </w:tc>
      </w:tr>
      <w:tr>
        <w:trPr>
          <w:cantSplit/>
        </w:trPr>
        <w:tc>
          <w:tcPr>
            <w:tcW w:type="dxa" w:w="950"/>
            <w:tcMar>
              <w:top w:w="80" w:type="dxa"/>
              <w:bottom w:w="80" w:type="dxa"/>
              <w:start w:w="120" w:type="dxa"/>
              <w:end w:w="120" w:type="dxa"/>
            </w:tcMar>
            <w:vAlign w:val="center"/>
          </w:tcPr>
          <w:p>
            <w:pPr>
              <w:spacing w:before="0" w:after="0" w:line="259" w:lineRule="auto"/>
            </w:pPr>
            <w:r>
              <w:rPr>
                <w:rFonts w:ascii="Calibri" w:hAnsi="Calibri"/>
                <w:color w:val="1F2937"/>
                <w:sz w:val="16"/>
              </w:rPr>
              <w:t>BF-005</w:t>
            </w:r>
          </w:p>
        </w:tc>
        <w:tc>
          <w:tcPr>
            <w:tcW w:type="dxa" w:w="2100"/>
            <w:tcMar>
              <w:top w:w="80" w:type="dxa"/>
              <w:bottom w:w="80" w:type="dxa"/>
              <w:start w:w="120" w:type="dxa"/>
              <w:end w:w="120" w:type="dxa"/>
            </w:tcMar>
            <w:vAlign w:val="center"/>
          </w:tcPr>
          <w:p>
            <w:pPr>
              <w:spacing w:before="0" w:after="0" w:line="259" w:lineRule="auto"/>
            </w:pPr>
            <w:r>
              <w:rPr>
                <w:rFonts w:ascii="Calibri" w:hAnsi="Calibri"/>
                <w:color w:val="1F2937"/>
                <w:sz w:val="16"/>
              </w:rPr>
              <w:t>Gift wrap</w:t>
            </w:r>
          </w:p>
        </w:tc>
        <w:tc>
          <w:tcPr>
            <w:tcW w:type="dxa" w:w="6310"/>
            <w:tcMar>
              <w:top w:w="80" w:type="dxa"/>
              <w:bottom w:w="80" w:type="dxa"/>
              <w:start w:w="120" w:type="dxa"/>
              <w:end w:w="120" w:type="dxa"/>
            </w:tcMar>
            <w:vAlign w:val="center"/>
          </w:tcPr>
          <w:p>
            <w:pPr>
              <w:spacing w:before="0" w:after="0" w:line="259" w:lineRule="auto"/>
            </w:pPr>
            <w:r>
              <w:rPr>
                <w:rFonts w:ascii="Calibri" w:hAnsi="Calibri"/>
                <w:color w:val="1F2937"/>
                <w:sz w:val="16"/>
              </w:rPr>
              <w:t>Gift wrap is available at no added charge for books and stationery purchased at the shop.</w:t>
            </w:r>
          </w:p>
        </w:tc>
      </w:tr>
      <w:tr>
        <w:trPr>
          <w:cantSplit/>
        </w:trPr>
        <w:tc>
          <w:tcPr>
            <w:tcW w:type="dxa" w:w="95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BF-006</w:t>
            </w:r>
          </w:p>
        </w:tc>
        <w:tc>
          <w:tcPr>
            <w:tcW w:type="dxa" w:w="21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Special orders</w:t>
            </w:r>
          </w:p>
        </w:tc>
        <w:tc>
          <w:tcPr>
            <w:tcW w:type="dxa" w:w="631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The shop accepts special orders for titles available through its distributors. Timing varies with distributor availability, and a pickup notice is sent after an item arrives.</w:t>
            </w:r>
          </w:p>
        </w:tc>
      </w:tr>
      <w:tr>
        <w:trPr>
          <w:cantSplit/>
        </w:trPr>
        <w:tc>
          <w:tcPr>
            <w:tcW w:type="dxa" w:w="950"/>
            <w:tcMar>
              <w:top w:w="80" w:type="dxa"/>
              <w:bottom w:w="80" w:type="dxa"/>
              <w:start w:w="120" w:type="dxa"/>
              <w:end w:w="120" w:type="dxa"/>
            </w:tcMar>
            <w:vAlign w:val="center"/>
          </w:tcPr>
          <w:p>
            <w:pPr>
              <w:spacing w:before="0" w:after="0" w:line="259" w:lineRule="auto"/>
            </w:pPr>
            <w:r>
              <w:rPr>
                <w:rFonts w:ascii="Calibri" w:hAnsi="Calibri"/>
                <w:color w:val="1F2937"/>
                <w:sz w:val="16"/>
              </w:rPr>
              <w:t>BF-007</w:t>
            </w:r>
          </w:p>
        </w:tc>
        <w:tc>
          <w:tcPr>
            <w:tcW w:type="dxa" w:w="2100"/>
            <w:tcMar>
              <w:top w:w="80" w:type="dxa"/>
              <w:bottom w:w="80" w:type="dxa"/>
              <w:start w:w="120" w:type="dxa"/>
              <w:end w:w="120" w:type="dxa"/>
            </w:tcMar>
            <w:vAlign w:val="center"/>
          </w:tcPr>
          <w:p>
            <w:pPr>
              <w:spacing w:before="0" w:after="0" w:line="259" w:lineRule="auto"/>
            </w:pPr>
            <w:r>
              <w:rPr>
                <w:rFonts w:ascii="Calibri" w:hAnsi="Calibri"/>
                <w:color w:val="1F2937"/>
                <w:sz w:val="16"/>
              </w:rPr>
              <w:t>Event seating</w:t>
            </w:r>
          </w:p>
        </w:tc>
        <w:tc>
          <w:tcPr>
            <w:tcW w:type="dxa" w:w="6310"/>
            <w:tcMar>
              <w:top w:w="80" w:type="dxa"/>
              <w:bottom w:w="80" w:type="dxa"/>
              <w:start w:w="120" w:type="dxa"/>
              <w:end w:w="120" w:type="dxa"/>
            </w:tcMar>
            <w:vAlign w:val="center"/>
          </w:tcPr>
          <w:p>
            <w:pPr>
              <w:spacing w:before="0" w:after="0" w:line="259" w:lineRule="auto"/>
            </w:pPr>
            <w:r>
              <w:rPr>
                <w:rFonts w:ascii="Calibri" w:hAnsi="Calibri"/>
                <w:color w:val="1F2937"/>
                <w:sz w:val="16"/>
              </w:rPr>
              <w:t>Event seating is limited. When registration is required, confirmed registrations hold places; walk-ins can be accommodated only if space remains.</w:t>
            </w:r>
          </w:p>
        </w:tc>
      </w:tr>
      <w:tr>
        <w:trPr>
          <w:cantSplit/>
        </w:trPr>
        <w:tc>
          <w:tcPr>
            <w:tcW w:type="dxa" w:w="95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BF-008</w:t>
            </w:r>
          </w:p>
        </w:tc>
        <w:tc>
          <w:tcPr>
            <w:tcW w:type="dxa" w:w="21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Returns</w:t>
            </w:r>
          </w:p>
        </w:tc>
        <w:tc>
          <w:tcPr>
            <w:tcW w:type="dxa" w:w="631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Unused, unmarked merchandise may be returned within 30 days with a receipt. Clearance items and opened journals are final sale.</w:t>
            </w:r>
          </w:p>
        </w:tc>
      </w:tr>
      <w:tr>
        <w:trPr>
          <w:cantSplit/>
        </w:trPr>
        <w:tc>
          <w:tcPr>
            <w:tcW w:type="dxa" w:w="950"/>
            <w:tcMar>
              <w:top w:w="80" w:type="dxa"/>
              <w:bottom w:w="80" w:type="dxa"/>
              <w:start w:w="120" w:type="dxa"/>
              <w:end w:w="120" w:type="dxa"/>
            </w:tcMar>
            <w:vAlign w:val="center"/>
          </w:tcPr>
          <w:p>
            <w:pPr>
              <w:spacing w:before="0" w:after="0" w:line="259" w:lineRule="auto"/>
            </w:pPr>
            <w:r>
              <w:rPr>
                <w:rFonts w:ascii="Calibri" w:hAnsi="Calibri"/>
                <w:color w:val="1F2937"/>
                <w:sz w:val="16"/>
              </w:rPr>
              <w:t>BF-009</w:t>
            </w:r>
          </w:p>
        </w:tc>
        <w:tc>
          <w:tcPr>
            <w:tcW w:type="dxa" w:w="2100"/>
            <w:tcMar>
              <w:top w:w="80" w:type="dxa"/>
              <w:bottom w:w="80" w:type="dxa"/>
              <w:start w:w="120" w:type="dxa"/>
              <w:end w:w="120" w:type="dxa"/>
            </w:tcMar>
            <w:vAlign w:val="center"/>
          </w:tcPr>
          <w:p>
            <w:pPr>
              <w:spacing w:before="0" w:after="0" w:line="259" w:lineRule="auto"/>
            </w:pPr>
            <w:r>
              <w:rPr>
                <w:rFonts w:ascii="Calibri" w:hAnsi="Calibri"/>
                <w:color w:val="1F2937"/>
                <w:sz w:val="16"/>
              </w:rPr>
              <w:t>Private review route</w:t>
            </w:r>
          </w:p>
        </w:tc>
        <w:tc>
          <w:tcPr>
            <w:tcW w:type="dxa" w:w="6310"/>
            <w:tcMar>
              <w:top w:w="80" w:type="dxa"/>
              <w:bottom w:w="80" w:type="dxa"/>
              <w:start w:w="120" w:type="dxa"/>
              <w:end w:w="120" w:type="dxa"/>
            </w:tcMar>
            <w:vAlign w:val="center"/>
          </w:tcPr>
          <w:p>
            <w:pPr>
              <w:spacing w:before="0" w:after="0" w:line="259" w:lineRule="auto"/>
            </w:pPr>
            <w:r>
              <w:rPr>
                <w:rFonts w:ascii="Calibri" w:hAnsi="Calibri"/>
                <w:color w:val="1F2937"/>
                <w:sz w:val="16"/>
              </w:rPr>
              <w:t>The buyer-approved public contact route is hello@marlowestreetbooks.example. A manager may review an item-specific, reservation, special-order, pickup, or pricing concern when the customer supplies the relevant date and reference privately.</w:t>
            </w:r>
          </w:p>
        </w:tc>
      </w:tr>
      <w:tr>
        <w:trPr>
          <w:cantSplit/>
        </w:trPr>
        <w:tc>
          <w:tcPr>
            <w:tcW w:type="dxa" w:w="95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BF-010</w:t>
            </w:r>
          </w:p>
        </w:tc>
        <w:tc>
          <w:tcPr>
            <w:tcW w:type="dxa" w:w="21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Shared event space</w:t>
            </w:r>
          </w:p>
        </w:tc>
        <w:tc>
          <w:tcPr>
            <w:tcW w:type="dxa" w:w="631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Scheduled events take place on the shared sales floor, so the reading nook can be livelier during a program.</w:t>
            </w:r>
          </w:p>
        </w:tc>
      </w:tr>
      <w:tr>
        <w:trPr>
          <w:cantSplit/>
        </w:trPr>
        <w:tc>
          <w:tcPr>
            <w:tcW w:type="dxa" w:w="950"/>
            <w:tcMar>
              <w:top w:w="80" w:type="dxa"/>
              <w:bottom w:w="80" w:type="dxa"/>
              <w:start w:w="120" w:type="dxa"/>
              <w:end w:w="120" w:type="dxa"/>
            </w:tcMar>
            <w:vAlign w:val="center"/>
          </w:tcPr>
          <w:p>
            <w:pPr>
              <w:spacing w:before="0" w:after="0" w:line="259" w:lineRule="auto"/>
            </w:pPr>
            <w:r>
              <w:rPr>
                <w:rFonts w:ascii="Calibri" w:hAnsi="Calibri"/>
                <w:color w:val="1F2937"/>
                <w:sz w:val="16"/>
              </w:rPr>
              <w:t>BF-011</w:t>
            </w:r>
          </w:p>
        </w:tc>
        <w:tc>
          <w:tcPr>
            <w:tcW w:type="dxa" w:w="2100"/>
            <w:tcMar>
              <w:top w:w="80" w:type="dxa"/>
              <w:bottom w:w="80" w:type="dxa"/>
              <w:start w:w="120" w:type="dxa"/>
              <w:end w:w="120" w:type="dxa"/>
            </w:tcMar>
            <w:vAlign w:val="center"/>
          </w:tcPr>
          <w:p>
            <w:pPr>
              <w:spacing w:before="0" w:after="0" w:line="259" w:lineRule="auto"/>
            </w:pPr>
            <w:r>
              <w:rPr>
                <w:rFonts w:ascii="Calibri" w:hAnsi="Calibri"/>
                <w:color w:val="1F2937"/>
                <w:sz w:val="16"/>
              </w:rPr>
              <w:t>Response tone</w:t>
            </w:r>
          </w:p>
        </w:tc>
        <w:tc>
          <w:tcPr>
            <w:tcW w:type="dxa" w:w="6310"/>
            <w:tcMar>
              <w:top w:w="80" w:type="dxa"/>
              <w:bottom w:w="80" w:type="dxa"/>
              <w:start w:w="120" w:type="dxa"/>
              <w:end w:w="120" w:type="dxa"/>
            </w:tcMar>
            <w:vAlign w:val="center"/>
          </w:tcPr>
          <w:p>
            <w:pPr>
              <w:spacing w:before="0" w:after="0" w:line="259" w:lineRule="auto"/>
            </w:pPr>
            <w:r>
              <w:rPr>
                <w:rFonts w:ascii="Calibri" w:hAnsi="Calibri"/>
                <w:color w:val="1F2937"/>
                <w:sz w:val="16"/>
              </w:rPr>
              <w:t>Approved voice: warm, calm, concise, specific, and non-salesy. Thank the reviewer, acknowledge the experience, use only supplied facts, and invite private follow-up only when needed.</w:t>
            </w:r>
          </w:p>
        </w:tc>
      </w:tr>
      <w:tr>
        <w:trPr>
          <w:cantSplit/>
        </w:trPr>
        <w:tc>
          <w:tcPr>
            <w:tcW w:type="dxa" w:w="95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BF-012</w:t>
            </w:r>
          </w:p>
        </w:tc>
        <w:tc>
          <w:tcPr>
            <w:tcW w:type="dxa" w:w="21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Signature</w:t>
            </w:r>
          </w:p>
        </w:tc>
        <w:tc>
          <w:tcPr>
            <w:tcW w:type="dxa" w:w="631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Approved signature: - The Marlowe Street Books &amp; Paper team</w:t>
            </w:r>
          </w:p>
        </w:tc>
      </w:tr>
      <w:tr>
        <w:trPr>
          <w:cantSplit/>
        </w:trPr>
        <w:tc>
          <w:tcPr>
            <w:tcW w:type="dxa" w:w="950"/>
            <w:tcMar>
              <w:top w:w="80" w:type="dxa"/>
              <w:bottom w:w="80" w:type="dxa"/>
              <w:start w:w="120" w:type="dxa"/>
              <w:end w:w="120" w:type="dxa"/>
            </w:tcMar>
            <w:vAlign w:val="center"/>
          </w:tcPr>
          <w:p>
            <w:pPr>
              <w:spacing w:before="0" w:after="0" w:line="259" w:lineRule="auto"/>
            </w:pPr>
            <w:r>
              <w:rPr>
                <w:rFonts w:ascii="Calibri" w:hAnsi="Calibri"/>
                <w:color w:val="1F2937"/>
                <w:sz w:val="16"/>
              </w:rPr>
              <w:t>BF-013</w:t>
            </w:r>
          </w:p>
        </w:tc>
        <w:tc>
          <w:tcPr>
            <w:tcW w:type="dxa" w:w="2100"/>
            <w:tcMar>
              <w:top w:w="80" w:type="dxa"/>
              <w:bottom w:w="80" w:type="dxa"/>
              <w:start w:w="120" w:type="dxa"/>
              <w:end w:w="120" w:type="dxa"/>
            </w:tcMar>
            <w:vAlign w:val="center"/>
          </w:tcPr>
          <w:p>
            <w:pPr>
              <w:spacing w:before="0" w:after="0" w:line="259" w:lineRule="auto"/>
            </w:pPr>
            <w:r>
              <w:rPr>
                <w:rFonts w:ascii="Calibri" w:hAnsi="Calibri"/>
                <w:color w:val="1F2937"/>
                <w:sz w:val="16"/>
              </w:rPr>
              <w:t>Prohibited moves</w:t>
            </w:r>
          </w:p>
        </w:tc>
        <w:tc>
          <w:tcPr>
            <w:tcW w:type="dxa" w:w="6310"/>
            <w:tcMar>
              <w:top w:w="80" w:type="dxa"/>
              <w:bottom w:w="80" w:type="dxa"/>
              <w:start w:w="120" w:type="dxa"/>
              <w:end w:w="120" w:type="dxa"/>
            </w:tcMar>
            <w:vAlign w:val="center"/>
          </w:tcPr>
          <w:p>
            <w:pPr>
              <w:spacing w:before="0" w:after="0" w:line="259" w:lineRule="auto"/>
            </w:pPr>
            <w:r>
              <w:rPr>
                <w:rFonts w:ascii="Calibri" w:hAnsi="Calibri"/>
                <w:color w:val="1F2937"/>
                <w:sz w:val="16"/>
              </w:rPr>
              <w:t>Do not invent facts, promise a resolution, admit liability, threaten, expose personal or confidential details, solicit a review edit or removal, offer an incentive, or manipulate ratings.</w:t>
            </w:r>
          </w:p>
        </w:tc>
      </w:tr>
      <w:tr>
        <w:trPr>
          <w:cantSplit/>
        </w:trPr>
        <w:tc>
          <w:tcPr>
            <w:tcW w:type="dxa" w:w="95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BF-014</w:t>
            </w:r>
          </w:p>
        </w:tc>
        <w:tc>
          <w:tcPr>
            <w:tcW w:type="dxa" w:w="21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Privacy boundary</w:t>
            </w:r>
          </w:p>
        </w:tc>
        <w:tc>
          <w:tcPr>
            <w:tcW w:type="dxa" w:w="631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Public drafts must not repeat reviewer identities, contact details, payment data, or order-specific information. Request only the minimum context through the approved public contact route when an E2 follow-up is appropriate.</w:t>
            </w:r>
          </w:p>
        </w:tc>
      </w:tr>
    </w:tbl>
    <w:p>
      <w:pPr>
        <w:spacing w:before="0" w:after="0"/>
      </w:pPr>
      <w:r>
        <w:br w:type="page"/>
      </w:r>
    </w:p>
    <w:p>
      <w:pPr>
        <w:pStyle w:val="Kicker"/>
      </w:pPr>
      <w:r>
        <w:t>EDITORIAL AUDIT</w:t>
      </w:r>
    </w:p>
    <w:p>
      <w:pPr>
        <w:pStyle w:val="Heading1"/>
      </w:pPr>
      <w:r>
        <w:t>Weak-to-production change log</w:t>
      </w:r>
    </w:p>
    <w:p>
      <w:pPr>
        <w:pStyle w:val="TableNote"/>
      </w:pPr>
      <w:r>
        <w:t>The weak candidate remains unpublished. Each production change removes generic, defensive, blaming, or unsupported language.</w:t>
      </w:r>
    </w:p>
    <w:tbl>
      <w:tblPr>
        <w:tblW w:type="dxa" w:w="9360"/>
        <w:tblLayout w:type="fixed"/>
        <w:tblLook w:firstColumn="1" w:firstRow="1" w:lastColumn="0" w:lastRow="0" w:noHBand="0" w:noVBand="1" w:val="04A0"/>
        <w:tblInd w:w="120" w:type="dxa"/>
        <w:tblBorders>
          <w:top w:val="single" w:sz="4" w:space="0" w:color="D6DEE3"/>
          <w:left w:val="single" w:sz="4" w:space="0" w:color="D6DEE3"/>
          <w:bottom w:val="single" w:sz="4" w:space="0" w:color="D6DEE3"/>
          <w:right w:val="single" w:sz="4" w:space="0" w:color="D6DEE3"/>
          <w:insideH w:val="single" w:sz="4" w:space="0" w:color="D6DEE3"/>
          <w:insideV w:val="single" w:sz="4" w:space="0" w:color="D6DEE3"/>
        </w:tblBorders>
      </w:tblPr>
      <w:tblGrid>
        <w:gridCol w:w="850"/>
        <w:gridCol w:w="2200"/>
        <w:gridCol w:w="4500"/>
        <w:gridCol w:w="1810"/>
      </w:tblGrid>
      <w:tr>
        <w:trPr>
          <w:cantSplit/>
          <w:tblHeader w:val="true"/>
        </w:trPr>
        <w:tc>
          <w:tcPr>
            <w:tcW w:type="dxa" w:w="850"/>
            <w:tcMar>
              <w:top w:w="80" w:type="dxa"/>
              <w:bottom w:w="80" w:type="dxa"/>
              <w:start w:w="120" w:type="dxa"/>
              <w:end w:w="120" w:type="dxa"/>
            </w:tcMar>
            <w:vAlign w:val="center"/>
            <w:shd w:fill="246B67"/>
          </w:tcPr>
          <w:p>
            <w:pPr>
              <w:spacing w:before="0" w:after="0" w:line="259" w:lineRule="auto"/>
            </w:pPr>
            <w:r>
              <w:rPr>
                <w:rFonts w:ascii="Calibri" w:hAnsi="Calibri"/>
                <w:b/>
                <w:color w:val="FFFFFF"/>
                <w:sz w:val="16"/>
              </w:rPr>
              <w:t>Review</w:t>
            </w:r>
          </w:p>
        </w:tc>
        <w:tc>
          <w:tcPr>
            <w:tcW w:type="dxa" w:w="2200"/>
            <w:tcMar>
              <w:top w:w="80" w:type="dxa"/>
              <w:bottom w:w="80" w:type="dxa"/>
              <w:start w:w="120" w:type="dxa"/>
              <w:end w:w="120" w:type="dxa"/>
            </w:tcMar>
            <w:vAlign w:val="center"/>
            <w:shd w:fill="246B67"/>
          </w:tcPr>
          <w:p>
            <w:pPr>
              <w:spacing w:before="0" w:after="0" w:line="259" w:lineRule="auto"/>
            </w:pPr>
            <w:r>
              <w:rPr>
                <w:rFonts w:ascii="Calibri" w:hAnsi="Calibri"/>
                <w:b/>
                <w:color w:val="FFFFFF"/>
                <w:sz w:val="16"/>
              </w:rPr>
              <w:t>Weakness / risk</w:t>
            </w:r>
          </w:p>
        </w:tc>
        <w:tc>
          <w:tcPr>
            <w:tcW w:type="dxa" w:w="4500"/>
            <w:tcMar>
              <w:top w:w="80" w:type="dxa"/>
              <w:bottom w:w="80" w:type="dxa"/>
              <w:start w:w="120" w:type="dxa"/>
              <w:end w:w="120" w:type="dxa"/>
            </w:tcMar>
            <w:vAlign w:val="center"/>
            <w:shd w:fill="246B67"/>
          </w:tcPr>
          <w:p>
            <w:pPr>
              <w:spacing w:before="0" w:after="0" w:line="259" w:lineRule="auto"/>
            </w:pPr>
            <w:r>
              <w:rPr>
                <w:rFonts w:ascii="Calibri" w:hAnsi="Calibri"/>
                <w:b/>
                <w:color w:val="FFFFFF"/>
                <w:sz w:val="16"/>
              </w:rPr>
              <w:t>Production change</w:t>
            </w:r>
          </w:p>
        </w:tc>
        <w:tc>
          <w:tcPr>
            <w:tcW w:type="dxa" w:w="1810"/>
            <w:tcMar>
              <w:top w:w="80" w:type="dxa"/>
              <w:bottom w:w="80" w:type="dxa"/>
              <w:start w:w="120" w:type="dxa"/>
              <w:end w:w="120" w:type="dxa"/>
            </w:tcMar>
            <w:vAlign w:val="center"/>
            <w:shd w:fill="246B67"/>
          </w:tcPr>
          <w:p>
            <w:pPr>
              <w:spacing w:before="0" w:after="0" w:line="259" w:lineRule="auto"/>
            </w:pPr>
            <w:r>
              <w:rPr>
                <w:rFonts w:ascii="Calibri" w:hAnsi="Calibri"/>
                <w:b/>
                <w:color w:val="FFFFFF"/>
                <w:sz w:val="16"/>
              </w:rPr>
              <w:t>Final disposition</w:t>
            </w:r>
          </w:p>
        </w:tc>
      </w:tr>
      <w:tr>
        <w:trPr>
          <w:cantSplit/>
        </w:trPr>
        <w:tc>
          <w:tcPr>
            <w:tcW w:type="dxa" w:w="850"/>
            <w:tcMar>
              <w:top w:w="80" w:type="dxa"/>
              <w:bottom w:w="80" w:type="dxa"/>
              <w:start w:w="120" w:type="dxa"/>
              <w:end w:w="120" w:type="dxa"/>
            </w:tcMar>
            <w:vAlign w:val="center"/>
          </w:tcPr>
          <w:p>
            <w:pPr>
              <w:spacing w:before="0" w:after="0" w:line="259" w:lineRule="auto"/>
            </w:pPr>
            <w:r>
              <w:rPr>
                <w:rFonts w:ascii="Calibri" w:hAnsi="Calibri"/>
                <w:color w:val="1F2937"/>
                <w:sz w:val="16"/>
              </w:rPr>
              <w:t>RR-001</w:t>
            </w:r>
          </w:p>
        </w:tc>
        <w:tc>
          <w:tcPr>
            <w:tcW w:type="dxa" w:w="2200"/>
            <w:tcMar>
              <w:top w:w="80" w:type="dxa"/>
              <w:bottom w:w="80" w:type="dxa"/>
              <w:start w:w="120" w:type="dxa"/>
              <w:end w:w="120" w:type="dxa"/>
            </w:tcMar>
            <w:vAlign w:val="center"/>
          </w:tcPr>
          <w:p>
            <w:pPr>
              <w:spacing w:before="0" w:after="0" w:line="259" w:lineRule="auto"/>
            </w:pPr>
            <w:r>
              <w:rPr>
                <w:rFonts w:ascii="Calibri" w:hAnsi="Calibri"/>
                <w:color w:val="1F2937"/>
                <w:sz w:val="16"/>
              </w:rPr>
              <w:t>Generic and rating-blind.</w:t>
            </w:r>
          </w:p>
        </w:tc>
        <w:tc>
          <w:tcPr>
            <w:tcW w:type="dxa" w:w="4500"/>
            <w:tcMar>
              <w:top w:w="80" w:type="dxa"/>
              <w:bottom w:w="80" w:type="dxa"/>
              <w:start w:w="120" w:type="dxa"/>
              <w:end w:w="120" w:type="dxa"/>
            </w:tcMar>
            <w:vAlign w:val="center"/>
          </w:tcPr>
          <w:p>
            <w:pPr>
              <w:spacing w:before="0" w:after="0" w:line="259" w:lineRule="auto"/>
            </w:pPr>
            <w:r>
              <w:rPr>
                <w:rFonts w:ascii="Calibri" w:hAnsi="Calibri"/>
                <w:color w:val="1F2937"/>
                <w:sz w:val="16"/>
              </w:rPr>
              <w:t>Replaced a generic thank-you with a specific response grounded in the review and the verified gift-wrap fact.</w:t>
            </w:r>
          </w:p>
        </w:tc>
        <w:tc>
          <w:tcPr>
            <w:tcW w:type="dxa" w:w="1810"/>
            <w:tcMar>
              <w:top w:w="80" w:type="dxa"/>
              <w:bottom w:w="80" w:type="dxa"/>
              <w:start w:w="120" w:type="dxa"/>
              <w:end w:w="120" w:type="dxa"/>
            </w:tcMar>
            <w:vAlign w:val="center"/>
          </w:tcPr>
          <w:p>
            <w:pPr>
              <w:spacing w:before="0" w:after="0" w:line="259" w:lineRule="auto"/>
            </w:pPr>
            <w:r>
              <w:rPr>
                <w:rFonts w:ascii="Calibri" w:hAnsi="Calibri"/>
                <w:color w:val="1F2937"/>
                <w:sz w:val="16"/>
              </w:rPr>
              <w:t>READY FOR BUYER REVIEW</w:t>
            </w:r>
          </w:p>
        </w:tc>
      </w:tr>
      <w:tr>
        <w:trPr>
          <w:cantSplit/>
        </w:trPr>
        <w:tc>
          <w:tcPr>
            <w:tcW w:type="dxa" w:w="85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RR-002</w:t>
            </w:r>
          </w:p>
        </w:tc>
        <w:tc>
          <w:tcPr>
            <w:tcW w:type="dxa" w:w="22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Ignores the checkout wait.</w:t>
            </w:r>
          </w:p>
        </w:tc>
        <w:tc>
          <w:tcPr>
            <w:tcW w:type="dxa" w:w="45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Made the response specific to both praise and wait time without promising a faster future checkout.</w:t>
            </w:r>
          </w:p>
        </w:tc>
        <w:tc>
          <w:tcPr>
            <w:tcW w:type="dxa" w:w="181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READY FOR BUYER REVIEW</w:t>
            </w:r>
          </w:p>
        </w:tc>
      </w:tr>
      <w:tr>
        <w:trPr>
          <w:cantSplit/>
        </w:trPr>
        <w:tc>
          <w:tcPr>
            <w:tcW w:type="dxa" w:w="850"/>
            <w:tcMar>
              <w:top w:w="80" w:type="dxa"/>
              <w:bottom w:w="80" w:type="dxa"/>
              <w:start w:w="120" w:type="dxa"/>
              <w:end w:w="120" w:type="dxa"/>
            </w:tcMar>
            <w:vAlign w:val="center"/>
          </w:tcPr>
          <w:p>
            <w:pPr>
              <w:spacing w:before="0" w:after="0" w:line="259" w:lineRule="auto"/>
            </w:pPr>
            <w:r>
              <w:rPr>
                <w:rFonts w:ascii="Calibri" w:hAnsi="Calibri"/>
                <w:color w:val="1F2937"/>
                <w:sz w:val="16"/>
              </w:rPr>
              <w:t>RR-003</w:t>
            </w:r>
          </w:p>
        </w:tc>
        <w:tc>
          <w:tcPr>
            <w:tcW w:type="dxa" w:w="2200"/>
            <w:tcMar>
              <w:top w:w="80" w:type="dxa"/>
              <w:bottom w:w="80" w:type="dxa"/>
              <w:start w:w="120" w:type="dxa"/>
              <w:end w:w="120" w:type="dxa"/>
            </w:tcMar>
            <w:vAlign w:val="center"/>
          </w:tcPr>
          <w:p>
            <w:pPr>
              <w:spacing w:before="0" w:after="0" w:line="259" w:lineRule="auto"/>
            </w:pPr>
            <w:r>
              <w:rPr>
                <w:rFonts w:ascii="Calibri" w:hAnsi="Calibri"/>
                <w:color w:val="1F2937"/>
                <w:sz w:val="16"/>
              </w:rPr>
              <w:t>Vague inventory excuse.</w:t>
            </w:r>
          </w:p>
        </w:tc>
        <w:tc>
          <w:tcPr>
            <w:tcW w:type="dxa" w:w="4500"/>
            <w:tcMar>
              <w:top w:w="80" w:type="dxa"/>
              <w:bottom w:w="80" w:type="dxa"/>
              <w:start w:w="120" w:type="dxa"/>
              <w:end w:w="120" w:type="dxa"/>
            </w:tcMar>
            <w:vAlign w:val="center"/>
          </w:tcPr>
          <w:p>
            <w:pPr>
              <w:spacing w:before="0" w:after="0" w:line="259" w:lineRule="auto"/>
            </w:pPr>
            <w:r>
              <w:rPr>
                <w:rFonts w:ascii="Calibri" w:hAnsi="Calibri"/>
                <w:color w:val="1F2937"/>
                <w:sz w:val="16"/>
              </w:rPr>
              <w:t>Replaced a vague inventory excuse with the exact supplied availability and confirmation boundaries.</w:t>
            </w:r>
          </w:p>
        </w:tc>
        <w:tc>
          <w:tcPr>
            <w:tcW w:type="dxa" w:w="1810"/>
            <w:tcMar>
              <w:top w:w="80" w:type="dxa"/>
              <w:bottom w:w="80" w:type="dxa"/>
              <w:start w:w="120" w:type="dxa"/>
              <w:end w:w="120" w:type="dxa"/>
            </w:tcMar>
            <w:vAlign w:val="center"/>
          </w:tcPr>
          <w:p>
            <w:pPr>
              <w:spacing w:before="0" w:after="0" w:line="259" w:lineRule="auto"/>
            </w:pPr>
            <w:r>
              <w:rPr>
                <w:rFonts w:ascii="Calibri" w:hAnsi="Calibri"/>
                <w:color w:val="1F2937"/>
                <w:sz w:val="16"/>
              </w:rPr>
              <w:t>READY AFTER OWNER AWARENESS</w:t>
            </w:r>
          </w:p>
        </w:tc>
      </w:tr>
      <w:tr>
        <w:trPr>
          <w:cantSplit/>
        </w:trPr>
        <w:tc>
          <w:tcPr>
            <w:tcW w:type="dxa" w:w="85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RR-004</w:t>
            </w:r>
          </w:p>
        </w:tc>
        <w:tc>
          <w:tcPr>
            <w:tcW w:type="dxa" w:w="22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Blames the reviewer.</w:t>
            </w:r>
          </w:p>
        </w:tc>
        <w:tc>
          <w:tcPr>
            <w:tcW w:type="dxa" w:w="45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Removed the blaming instruction and replaced it with a courteous, sourced explanation of confirmation and pickup.</w:t>
            </w:r>
          </w:p>
        </w:tc>
        <w:tc>
          <w:tcPr>
            <w:tcW w:type="dxa" w:w="181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READY AFTER OWNER AWARENESS</w:t>
            </w:r>
          </w:p>
        </w:tc>
      </w:tr>
      <w:tr>
        <w:trPr>
          <w:cantSplit/>
        </w:trPr>
        <w:tc>
          <w:tcPr>
            <w:tcW w:type="dxa" w:w="850"/>
            <w:tcMar>
              <w:top w:w="80" w:type="dxa"/>
              <w:bottom w:w="80" w:type="dxa"/>
              <w:start w:w="120" w:type="dxa"/>
              <w:end w:w="120" w:type="dxa"/>
            </w:tcMar>
            <w:vAlign w:val="center"/>
          </w:tcPr>
          <w:p>
            <w:pPr>
              <w:spacing w:before="0" w:after="0" w:line="259" w:lineRule="auto"/>
            </w:pPr>
            <w:r>
              <w:rPr>
                <w:rFonts w:ascii="Calibri" w:hAnsi="Calibri"/>
                <w:color w:val="1F2937"/>
                <w:sz w:val="16"/>
              </w:rPr>
              <w:t>RR-005</w:t>
            </w:r>
          </w:p>
        </w:tc>
        <w:tc>
          <w:tcPr>
            <w:tcW w:type="dxa" w:w="2200"/>
            <w:tcMar>
              <w:top w:w="80" w:type="dxa"/>
              <w:bottom w:w="80" w:type="dxa"/>
              <w:start w:w="120" w:type="dxa"/>
              <w:end w:w="120" w:type="dxa"/>
            </w:tcMar>
            <w:vAlign w:val="center"/>
          </w:tcPr>
          <w:p>
            <w:pPr>
              <w:spacing w:before="0" w:after="0" w:line="259" w:lineRule="auto"/>
            </w:pPr>
            <w:r>
              <w:rPr>
                <w:rFonts w:ascii="Calibri" w:hAnsi="Calibri"/>
                <w:color w:val="1F2937"/>
                <w:sz w:val="16"/>
              </w:rPr>
              <w:t>Generic event thanks.</w:t>
            </w:r>
          </w:p>
        </w:tc>
        <w:tc>
          <w:tcPr>
            <w:tcW w:type="dxa" w:w="4500"/>
            <w:tcMar>
              <w:top w:w="80" w:type="dxa"/>
              <w:bottom w:w="80" w:type="dxa"/>
              <w:start w:w="120" w:type="dxa"/>
              <w:end w:w="120" w:type="dxa"/>
            </w:tcMar>
            <w:vAlign w:val="center"/>
          </w:tcPr>
          <w:p>
            <w:pPr>
              <w:spacing w:before="0" w:after="0" w:line="259" w:lineRule="auto"/>
            </w:pPr>
            <w:r>
              <w:rPr>
                <w:rFonts w:ascii="Calibri" w:hAnsi="Calibri"/>
                <w:color w:val="1F2937"/>
                <w:sz w:val="16"/>
              </w:rPr>
              <w:t>Expanded the generic acknowledgment into a review-specific response with the verified event-capacity fact.</w:t>
            </w:r>
          </w:p>
        </w:tc>
        <w:tc>
          <w:tcPr>
            <w:tcW w:type="dxa" w:w="1810"/>
            <w:tcMar>
              <w:top w:w="80" w:type="dxa"/>
              <w:bottom w:w="80" w:type="dxa"/>
              <w:start w:w="120" w:type="dxa"/>
              <w:end w:w="120" w:type="dxa"/>
            </w:tcMar>
            <w:vAlign w:val="center"/>
          </w:tcPr>
          <w:p>
            <w:pPr>
              <w:spacing w:before="0" w:after="0" w:line="259" w:lineRule="auto"/>
            </w:pPr>
            <w:r>
              <w:rPr>
                <w:rFonts w:ascii="Calibri" w:hAnsi="Calibri"/>
                <w:color w:val="1F2937"/>
                <w:sz w:val="16"/>
              </w:rPr>
              <w:t>READY FOR BUYER REVIEW</w:t>
            </w:r>
          </w:p>
        </w:tc>
      </w:tr>
      <w:tr>
        <w:trPr>
          <w:cantSplit/>
        </w:trPr>
        <w:tc>
          <w:tcPr>
            <w:tcW w:type="dxa" w:w="85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RR-006</w:t>
            </w:r>
          </w:p>
        </w:tc>
        <w:tc>
          <w:tcPr>
            <w:tcW w:type="dxa" w:w="22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Dismisses capacity concern.</w:t>
            </w:r>
          </w:p>
        </w:tc>
        <w:tc>
          <w:tcPr>
            <w:tcW w:type="dxa" w:w="45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Reframed a dismissive draft as an empathetic, source-backed capacity explanation without disputing the reviewer.</w:t>
            </w:r>
          </w:p>
        </w:tc>
        <w:tc>
          <w:tcPr>
            <w:tcW w:type="dxa" w:w="181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READY AFTER OWNER AWARENESS</w:t>
            </w:r>
          </w:p>
        </w:tc>
      </w:tr>
      <w:tr>
        <w:trPr>
          <w:cantSplit/>
        </w:trPr>
        <w:tc>
          <w:tcPr>
            <w:tcW w:type="dxa" w:w="850"/>
            <w:tcMar>
              <w:top w:w="80" w:type="dxa"/>
              <w:bottom w:w="80" w:type="dxa"/>
              <w:start w:w="120" w:type="dxa"/>
              <w:end w:w="120" w:type="dxa"/>
            </w:tcMar>
            <w:vAlign w:val="center"/>
          </w:tcPr>
          <w:p>
            <w:pPr>
              <w:spacing w:before="0" w:after="0" w:line="259" w:lineRule="auto"/>
            </w:pPr>
            <w:r>
              <w:rPr>
                <w:rFonts w:ascii="Calibri" w:hAnsi="Calibri"/>
                <w:color w:val="1F2937"/>
                <w:sz w:val="16"/>
              </w:rPr>
              <w:t>RR-007</w:t>
            </w:r>
          </w:p>
        </w:tc>
        <w:tc>
          <w:tcPr>
            <w:tcW w:type="dxa" w:w="2200"/>
            <w:tcMar>
              <w:top w:w="80" w:type="dxa"/>
              <w:bottom w:w="80" w:type="dxa"/>
              <w:start w:w="120" w:type="dxa"/>
              <w:end w:w="120" w:type="dxa"/>
            </w:tcMar>
            <w:vAlign w:val="center"/>
          </w:tcPr>
          <w:p>
            <w:pPr>
              <w:spacing w:before="0" w:after="0" w:line="259" w:lineRule="auto"/>
            </w:pPr>
            <w:r>
              <w:rPr>
                <w:rFonts w:ascii="Calibri" w:hAnsi="Calibri"/>
                <w:color w:val="1F2937"/>
                <w:sz w:val="16"/>
              </w:rPr>
              <w:t>Promises an unspecified resolution.</w:t>
            </w:r>
          </w:p>
        </w:tc>
        <w:tc>
          <w:tcPr>
            <w:tcW w:type="dxa" w:w="4500"/>
            <w:tcMar>
              <w:top w:w="80" w:type="dxa"/>
              <w:bottom w:w="80" w:type="dxa"/>
              <w:start w:w="120" w:type="dxa"/>
              <w:end w:w="120" w:type="dxa"/>
            </w:tcMar>
            <w:vAlign w:val="center"/>
          </w:tcPr>
          <w:p>
            <w:pPr>
              <w:spacing w:before="0" w:after="0" w:line="259" w:lineRule="auto"/>
            </w:pPr>
            <w:r>
              <w:rPr>
                <w:rFonts w:ascii="Calibri" w:hAnsi="Calibri"/>
                <w:color w:val="1F2937"/>
                <w:sz w:val="16"/>
              </w:rPr>
              <w:t>Removed the outcome promise and substituted a factual process note plus a privacy-safe request for manager review.</w:t>
            </w:r>
          </w:p>
        </w:tc>
        <w:tc>
          <w:tcPr>
            <w:tcW w:type="dxa" w:w="1810"/>
            <w:tcMar>
              <w:top w:w="80" w:type="dxa"/>
              <w:bottom w:w="80" w:type="dxa"/>
              <w:start w:w="120" w:type="dxa"/>
              <w:end w:w="120" w:type="dxa"/>
            </w:tcMar>
            <w:vAlign w:val="center"/>
          </w:tcPr>
          <w:p>
            <w:pPr>
              <w:spacing w:before="0" w:after="0" w:line="259" w:lineRule="auto"/>
            </w:pPr>
            <w:r>
              <w:rPr>
                <w:rFonts w:ascii="Calibri" w:hAnsi="Calibri"/>
                <w:color w:val="1F2937"/>
                <w:sz w:val="16"/>
              </w:rPr>
              <w:t>HOLD FOR OWNER REVIEW</w:t>
            </w:r>
          </w:p>
        </w:tc>
      </w:tr>
      <w:tr>
        <w:trPr>
          <w:cantSplit/>
        </w:trPr>
        <w:tc>
          <w:tcPr>
            <w:tcW w:type="dxa" w:w="85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RR-008</w:t>
            </w:r>
          </w:p>
        </w:tc>
        <w:tc>
          <w:tcPr>
            <w:tcW w:type="dxa" w:w="22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Promises future action without authority.</w:t>
            </w:r>
          </w:p>
        </w:tc>
        <w:tc>
          <w:tcPr>
            <w:tcW w:type="dxa" w:w="45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Removed an unsourced future-action promise and retained only the observed issue and verified gift-wrap fact.</w:t>
            </w:r>
          </w:p>
        </w:tc>
        <w:tc>
          <w:tcPr>
            <w:tcW w:type="dxa" w:w="181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READY AFTER OWNER AWARENESS</w:t>
            </w:r>
          </w:p>
        </w:tc>
      </w:tr>
      <w:tr>
        <w:trPr>
          <w:cantSplit/>
        </w:trPr>
        <w:tc>
          <w:tcPr>
            <w:tcW w:type="dxa" w:w="850"/>
            <w:tcMar>
              <w:top w:w="80" w:type="dxa"/>
              <w:bottom w:w="80" w:type="dxa"/>
              <w:start w:w="120" w:type="dxa"/>
              <w:end w:w="120" w:type="dxa"/>
            </w:tcMar>
            <w:vAlign w:val="center"/>
          </w:tcPr>
          <w:p>
            <w:pPr>
              <w:spacing w:before="0" w:after="0" w:line="259" w:lineRule="auto"/>
            </w:pPr>
            <w:r>
              <w:rPr>
                <w:rFonts w:ascii="Calibri" w:hAnsi="Calibri"/>
                <w:color w:val="1F2937"/>
                <w:sz w:val="16"/>
              </w:rPr>
              <w:t>RR-009</w:t>
            </w:r>
          </w:p>
        </w:tc>
        <w:tc>
          <w:tcPr>
            <w:tcW w:type="dxa" w:w="2200"/>
            <w:tcMar>
              <w:top w:w="80" w:type="dxa"/>
              <w:bottom w:w="80" w:type="dxa"/>
              <w:start w:w="120" w:type="dxa"/>
              <w:end w:w="120" w:type="dxa"/>
            </w:tcMar>
            <w:vAlign w:val="center"/>
          </w:tcPr>
          <w:p>
            <w:pPr>
              <w:spacing w:before="0" w:after="0" w:line="259" w:lineRule="auto"/>
            </w:pPr>
            <w:r>
              <w:rPr>
                <w:rFonts w:ascii="Calibri" w:hAnsi="Calibri"/>
                <w:color w:val="1F2937"/>
                <w:sz w:val="16"/>
              </w:rPr>
              <w:t>Defensive policy-only reply.</w:t>
            </w:r>
          </w:p>
        </w:tc>
        <w:tc>
          <w:tcPr>
            <w:tcW w:type="dxa" w:w="4500"/>
            <w:tcMar>
              <w:top w:w="80" w:type="dxa"/>
              <w:bottom w:w="80" w:type="dxa"/>
              <w:start w:w="120" w:type="dxa"/>
              <w:end w:w="120" w:type="dxa"/>
            </w:tcMar>
            <w:vAlign w:val="center"/>
          </w:tcPr>
          <w:p>
            <w:pPr>
              <w:spacing w:before="0" w:after="0" w:line="259" w:lineRule="auto"/>
            </w:pPr>
            <w:r>
              <w:rPr>
                <w:rFonts w:ascii="Calibri" w:hAnsi="Calibri"/>
                <w:color w:val="1F2937"/>
                <w:sz w:val="16"/>
              </w:rPr>
              <w:t>Replaced a defensive reply with the exact policy, acknowledgment of unclear communication, and a non-promissory private review route.</w:t>
            </w:r>
          </w:p>
        </w:tc>
        <w:tc>
          <w:tcPr>
            <w:tcW w:type="dxa" w:w="1810"/>
            <w:tcMar>
              <w:top w:w="80" w:type="dxa"/>
              <w:bottom w:w="80" w:type="dxa"/>
              <w:start w:w="120" w:type="dxa"/>
              <w:end w:w="120" w:type="dxa"/>
            </w:tcMar>
            <w:vAlign w:val="center"/>
          </w:tcPr>
          <w:p>
            <w:pPr>
              <w:spacing w:before="0" w:after="0" w:line="259" w:lineRule="auto"/>
            </w:pPr>
            <w:r>
              <w:rPr>
                <w:rFonts w:ascii="Calibri" w:hAnsi="Calibri"/>
                <w:color w:val="1F2937"/>
                <w:sz w:val="16"/>
              </w:rPr>
              <w:t>HOLD FOR OWNER REVIEW</w:t>
            </w:r>
          </w:p>
        </w:tc>
      </w:tr>
      <w:tr>
        <w:trPr>
          <w:cantSplit/>
        </w:trPr>
        <w:tc>
          <w:tcPr>
            <w:tcW w:type="dxa" w:w="85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RR-010</w:t>
            </w:r>
          </w:p>
        </w:tc>
        <w:tc>
          <w:tcPr>
            <w:tcW w:type="dxa" w:w="22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Focuses on rating, not substance.</w:t>
            </w:r>
          </w:p>
        </w:tc>
        <w:tc>
          <w:tcPr>
            <w:tcW w:type="dxa" w:w="45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Turned a rating-only acknowledgment into a specific response based entirely on the supplied review.</w:t>
            </w:r>
          </w:p>
        </w:tc>
        <w:tc>
          <w:tcPr>
            <w:tcW w:type="dxa" w:w="181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READY FOR BUYER REVIEW</w:t>
            </w:r>
          </w:p>
        </w:tc>
      </w:tr>
    </w:tbl>
    <w:p>
      <w:pPr>
        <w:spacing w:before="0" w:after="0"/>
      </w:pPr>
      <w:r>
        <w:br w:type="page"/>
      </w:r>
    </w:p>
    <w:p>
      <w:pPr>
        <w:pStyle w:val="Kicker"/>
      </w:pPr>
      <w:r>
        <w:t>EDITORIAL AUDIT | CONTINUED</w:t>
      </w:r>
    </w:p>
    <w:p>
      <w:pPr>
        <w:pStyle w:val="Heading1"/>
      </w:pPr>
      <w:r>
        <w:t>Weak-to-production change log</w:t>
      </w:r>
    </w:p>
    <w:p>
      <w:pPr>
        <w:pStyle w:val="TableNote"/>
      </w:pPr>
      <w:r>
        <w:t>Reviews RR-011 through RR-020. The weak candidates remain unpublished.</w:t>
      </w:r>
    </w:p>
    <w:tbl>
      <w:tblPr>
        <w:tblW w:type="dxa" w:w="9360"/>
        <w:tblLayout w:type="fixed"/>
        <w:tblLook w:firstColumn="1" w:firstRow="1" w:lastColumn="0" w:lastRow="0" w:noHBand="0" w:noVBand="1" w:val="04A0"/>
        <w:tblInd w:w="120" w:type="dxa"/>
        <w:tblBorders>
          <w:top w:val="single" w:sz="4" w:space="0" w:color="D6DEE3"/>
          <w:left w:val="single" w:sz="4" w:space="0" w:color="D6DEE3"/>
          <w:bottom w:val="single" w:sz="4" w:space="0" w:color="D6DEE3"/>
          <w:right w:val="single" w:sz="4" w:space="0" w:color="D6DEE3"/>
          <w:insideH w:val="single" w:sz="4" w:space="0" w:color="D6DEE3"/>
          <w:insideV w:val="single" w:sz="4" w:space="0" w:color="D6DEE3"/>
        </w:tblBorders>
      </w:tblPr>
      <w:tblGrid>
        <w:gridCol w:w="850"/>
        <w:gridCol w:w="2200"/>
        <w:gridCol w:w="4500"/>
        <w:gridCol w:w="1810"/>
      </w:tblGrid>
      <w:tr>
        <w:trPr>
          <w:cantSplit/>
          <w:tblHeader w:val="true"/>
        </w:trPr>
        <w:tc>
          <w:tcPr>
            <w:tcW w:type="dxa" w:w="850"/>
            <w:tcMar>
              <w:top w:w="80" w:type="dxa"/>
              <w:bottom w:w="80" w:type="dxa"/>
              <w:start w:w="120" w:type="dxa"/>
              <w:end w:w="120" w:type="dxa"/>
            </w:tcMar>
            <w:vAlign w:val="center"/>
            <w:shd w:fill="246B67"/>
          </w:tcPr>
          <w:p>
            <w:pPr>
              <w:spacing w:before="0" w:after="0" w:line="259" w:lineRule="auto"/>
            </w:pPr>
            <w:r>
              <w:rPr>
                <w:rFonts w:ascii="Calibri" w:hAnsi="Calibri"/>
                <w:b/>
                <w:color w:val="FFFFFF"/>
                <w:sz w:val="16"/>
              </w:rPr>
              <w:t>Review</w:t>
            </w:r>
          </w:p>
        </w:tc>
        <w:tc>
          <w:tcPr>
            <w:tcW w:type="dxa" w:w="2200"/>
            <w:tcMar>
              <w:top w:w="80" w:type="dxa"/>
              <w:bottom w:w="80" w:type="dxa"/>
              <w:start w:w="120" w:type="dxa"/>
              <w:end w:w="120" w:type="dxa"/>
            </w:tcMar>
            <w:vAlign w:val="center"/>
            <w:shd w:fill="246B67"/>
          </w:tcPr>
          <w:p>
            <w:pPr>
              <w:spacing w:before="0" w:after="0" w:line="259" w:lineRule="auto"/>
            </w:pPr>
            <w:r>
              <w:rPr>
                <w:rFonts w:ascii="Calibri" w:hAnsi="Calibri"/>
                <w:b/>
                <w:color w:val="FFFFFF"/>
                <w:sz w:val="16"/>
              </w:rPr>
              <w:t>Weakness / risk</w:t>
            </w:r>
          </w:p>
        </w:tc>
        <w:tc>
          <w:tcPr>
            <w:tcW w:type="dxa" w:w="4500"/>
            <w:tcMar>
              <w:top w:w="80" w:type="dxa"/>
              <w:bottom w:w="80" w:type="dxa"/>
              <w:start w:w="120" w:type="dxa"/>
              <w:end w:w="120" w:type="dxa"/>
            </w:tcMar>
            <w:vAlign w:val="center"/>
            <w:shd w:fill="246B67"/>
          </w:tcPr>
          <w:p>
            <w:pPr>
              <w:spacing w:before="0" w:after="0" w:line="259" w:lineRule="auto"/>
            </w:pPr>
            <w:r>
              <w:rPr>
                <w:rFonts w:ascii="Calibri" w:hAnsi="Calibri"/>
                <w:b/>
                <w:color w:val="FFFFFF"/>
                <w:sz w:val="16"/>
              </w:rPr>
              <w:t>Production change</w:t>
            </w:r>
          </w:p>
        </w:tc>
        <w:tc>
          <w:tcPr>
            <w:tcW w:type="dxa" w:w="1810"/>
            <w:tcMar>
              <w:top w:w="80" w:type="dxa"/>
              <w:bottom w:w="80" w:type="dxa"/>
              <w:start w:w="120" w:type="dxa"/>
              <w:end w:w="120" w:type="dxa"/>
            </w:tcMar>
            <w:vAlign w:val="center"/>
            <w:shd w:fill="246B67"/>
          </w:tcPr>
          <w:p>
            <w:pPr>
              <w:spacing w:before="0" w:after="0" w:line="259" w:lineRule="auto"/>
            </w:pPr>
            <w:r>
              <w:rPr>
                <w:rFonts w:ascii="Calibri" w:hAnsi="Calibri"/>
                <w:b/>
                <w:color w:val="FFFFFF"/>
                <w:sz w:val="16"/>
              </w:rPr>
              <w:t>Final disposition</w:t>
            </w:r>
          </w:p>
        </w:tc>
      </w:tr>
      <w:tr>
        <w:trPr>
          <w:cantSplit/>
        </w:trPr>
        <w:tc>
          <w:tcPr>
            <w:tcW w:type="dxa" w:w="850"/>
            <w:tcMar>
              <w:top w:w="80" w:type="dxa"/>
              <w:bottom w:w="80" w:type="dxa"/>
              <w:start w:w="120" w:type="dxa"/>
              <w:end w:w="120" w:type="dxa"/>
            </w:tcMar>
            <w:vAlign w:val="center"/>
          </w:tcPr>
          <w:p>
            <w:pPr>
              <w:spacing w:before="0" w:after="0" w:line="259" w:lineRule="auto"/>
            </w:pPr>
            <w:r>
              <w:rPr>
                <w:rFonts w:ascii="Calibri" w:hAnsi="Calibri"/>
                <w:color w:val="1F2937"/>
                <w:sz w:val="16"/>
              </w:rPr>
              <w:t>RR-011</w:t>
            </w:r>
          </w:p>
        </w:tc>
        <w:tc>
          <w:tcPr>
            <w:tcW w:type="dxa" w:w="2200"/>
            <w:tcMar>
              <w:top w:w="80" w:type="dxa"/>
              <w:bottom w:w="80" w:type="dxa"/>
              <w:start w:w="120" w:type="dxa"/>
              <w:end w:w="120" w:type="dxa"/>
            </w:tcMar>
            <w:vAlign w:val="center"/>
          </w:tcPr>
          <w:p>
            <w:pPr>
              <w:spacing w:before="0" w:after="0" w:line="259" w:lineRule="auto"/>
            </w:pPr>
            <w:r>
              <w:rPr>
                <w:rFonts w:ascii="Calibri" w:hAnsi="Calibri"/>
                <w:color w:val="1F2937"/>
                <w:sz w:val="16"/>
              </w:rPr>
              <w:t>Directs blame to the reviewer.</w:t>
            </w:r>
          </w:p>
        </w:tc>
        <w:tc>
          <w:tcPr>
            <w:tcW w:type="dxa" w:w="4500"/>
            <w:tcMar>
              <w:top w:w="80" w:type="dxa"/>
              <w:bottom w:w="80" w:type="dxa"/>
              <w:start w:w="120" w:type="dxa"/>
              <w:end w:w="120" w:type="dxa"/>
            </w:tcMar>
            <w:vAlign w:val="center"/>
          </w:tcPr>
          <w:p>
            <w:pPr>
              <w:spacing w:before="0" w:after="0" w:line="259" w:lineRule="auto"/>
            </w:pPr>
            <w:r>
              <w:rPr>
                <w:rFonts w:ascii="Calibri" w:hAnsi="Calibri"/>
                <w:color w:val="1F2937"/>
                <w:sz w:val="16"/>
              </w:rPr>
              <w:t>Removed the reviewer-directed instruction and used a neutral shared-space fact with acknowledgment.</w:t>
            </w:r>
          </w:p>
        </w:tc>
        <w:tc>
          <w:tcPr>
            <w:tcW w:type="dxa" w:w="1810"/>
            <w:tcMar>
              <w:top w:w="80" w:type="dxa"/>
              <w:bottom w:w="80" w:type="dxa"/>
              <w:start w:w="120" w:type="dxa"/>
              <w:end w:w="120" w:type="dxa"/>
            </w:tcMar>
            <w:vAlign w:val="center"/>
          </w:tcPr>
          <w:p>
            <w:pPr>
              <w:spacing w:before="0" w:after="0" w:line="259" w:lineRule="auto"/>
            </w:pPr>
            <w:r>
              <w:rPr>
                <w:rFonts w:ascii="Calibri" w:hAnsi="Calibri"/>
                <w:color w:val="1F2937"/>
                <w:sz w:val="16"/>
              </w:rPr>
              <w:t>READY FOR BUYER REVIEW</w:t>
            </w:r>
          </w:p>
        </w:tc>
      </w:tr>
      <w:tr>
        <w:trPr>
          <w:cantSplit/>
        </w:trPr>
        <w:tc>
          <w:tcPr>
            <w:tcW w:type="dxa" w:w="85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RR-012</w:t>
            </w:r>
          </w:p>
        </w:tc>
        <w:tc>
          <w:tcPr>
            <w:tcW w:type="dxa" w:w="22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Invents cause and compensation.</w:t>
            </w:r>
          </w:p>
        </w:tc>
        <w:tc>
          <w:tcPr>
            <w:tcW w:type="dxa" w:w="45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Removed the invented cause and refund promise, then added a privacy-safe manager-review route.</w:t>
            </w:r>
          </w:p>
        </w:tc>
        <w:tc>
          <w:tcPr>
            <w:tcW w:type="dxa" w:w="181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HOLD FOR OWNER REVIEW</w:t>
            </w:r>
          </w:p>
        </w:tc>
      </w:tr>
      <w:tr>
        <w:trPr>
          <w:cantSplit/>
        </w:trPr>
        <w:tc>
          <w:tcPr>
            <w:tcW w:type="dxa" w:w="850"/>
            <w:tcMar>
              <w:top w:w="80" w:type="dxa"/>
              <w:bottom w:w="80" w:type="dxa"/>
              <w:start w:w="120" w:type="dxa"/>
              <w:end w:w="120" w:type="dxa"/>
            </w:tcMar>
            <w:vAlign w:val="center"/>
          </w:tcPr>
          <w:p>
            <w:pPr>
              <w:spacing w:before="0" w:after="0" w:line="259" w:lineRule="auto"/>
            </w:pPr>
            <w:r>
              <w:rPr>
                <w:rFonts w:ascii="Calibri" w:hAnsi="Calibri"/>
                <w:color w:val="1F2937"/>
                <w:sz w:val="16"/>
              </w:rPr>
              <w:t>RR-013</w:t>
            </w:r>
          </w:p>
        </w:tc>
        <w:tc>
          <w:tcPr>
            <w:tcW w:type="dxa" w:w="2200"/>
            <w:tcMar>
              <w:top w:w="80" w:type="dxa"/>
              <w:bottom w:w="80" w:type="dxa"/>
              <w:start w:w="120" w:type="dxa"/>
              <w:end w:w="120" w:type="dxa"/>
            </w:tcMar>
            <w:vAlign w:val="center"/>
          </w:tcPr>
          <w:p>
            <w:pPr>
              <w:spacing w:before="0" w:after="0" w:line="259" w:lineRule="auto"/>
            </w:pPr>
            <w:r>
              <w:rPr>
                <w:rFonts w:ascii="Calibri" w:hAnsi="Calibri"/>
                <w:color w:val="1F2937"/>
                <w:sz w:val="16"/>
              </w:rPr>
              <w:t>Generic; misses praise and delay.</w:t>
            </w:r>
          </w:p>
        </w:tc>
        <w:tc>
          <w:tcPr>
            <w:tcW w:type="dxa" w:w="4500"/>
            <w:tcMar>
              <w:top w:w="80" w:type="dxa"/>
              <w:bottom w:w="80" w:type="dxa"/>
              <w:start w:w="120" w:type="dxa"/>
              <w:end w:w="120" w:type="dxa"/>
            </w:tcMar>
            <w:vAlign w:val="center"/>
          </w:tcPr>
          <w:p>
            <w:pPr>
              <w:spacing w:before="0" w:after="0" w:line="259" w:lineRule="auto"/>
            </w:pPr>
            <w:r>
              <w:rPr>
                <w:rFonts w:ascii="Calibri" w:hAnsi="Calibri"/>
                <w:color w:val="1F2937"/>
                <w:sz w:val="16"/>
              </w:rPr>
              <w:t>Replaced a generic reply with a concise acknowledgment of both the service praise and checkout delay.</w:t>
            </w:r>
          </w:p>
        </w:tc>
        <w:tc>
          <w:tcPr>
            <w:tcW w:type="dxa" w:w="1810"/>
            <w:tcMar>
              <w:top w:w="80" w:type="dxa"/>
              <w:bottom w:w="80" w:type="dxa"/>
              <w:start w:w="120" w:type="dxa"/>
              <w:end w:w="120" w:type="dxa"/>
            </w:tcMar>
            <w:vAlign w:val="center"/>
          </w:tcPr>
          <w:p>
            <w:pPr>
              <w:spacing w:before="0" w:after="0" w:line="259" w:lineRule="auto"/>
            </w:pPr>
            <w:r>
              <w:rPr>
                <w:rFonts w:ascii="Calibri" w:hAnsi="Calibri"/>
                <w:color w:val="1F2937"/>
                <w:sz w:val="16"/>
              </w:rPr>
              <w:t>READY FOR BUYER REVIEW</w:t>
            </w:r>
          </w:p>
        </w:tc>
      </w:tr>
      <w:tr>
        <w:trPr>
          <w:cantSplit/>
        </w:trPr>
        <w:tc>
          <w:tcPr>
            <w:tcW w:type="dxa" w:w="85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RR-014</w:t>
            </w:r>
          </w:p>
        </w:tc>
        <w:tc>
          <w:tcPr>
            <w:tcW w:type="dxa" w:w="22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Blames an unnamed listing.</w:t>
            </w:r>
          </w:p>
        </w:tc>
        <w:tc>
          <w:tcPr>
            <w:tcW w:type="dxa" w:w="45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Removed blame toward an unnamed listing and supplied the verified regular hours with empathetic acknowledgment.</w:t>
            </w:r>
          </w:p>
        </w:tc>
        <w:tc>
          <w:tcPr>
            <w:tcW w:type="dxa" w:w="181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READY AFTER OWNER AWARENESS</w:t>
            </w:r>
          </w:p>
        </w:tc>
      </w:tr>
      <w:tr>
        <w:trPr>
          <w:cantSplit/>
        </w:trPr>
        <w:tc>
          <w:tcPr>
            <w:tcW w:type="dxa" w:w="850"/>
            <w:tcMar>
              <w:top w:w="80" w:type="dxa"/>
              <w:bottom w:w="80" w:type="dxa"/>
              <w:start w:w="120" w:type="dxa"/>
              <w:end w:w="120" w:type="dxa"/>
            </w:tcMar>
            <w:vAlign w:val="center"/>
          </w:tcPr>
          <w:p>
            <w:pPr>
              <w:spacing w:before="0" w:after="0" w:line="259" w:lineRule="auto"/>
            </w:pPr>
            <w:r>
              <w:rPr>
                <w:rFonts w:ascii="Calibri" w:hAnsi="Calibri"/>
                <w:color w:val="1F2937"/>
                <w:sz w:val="16"/>
              </w:rPr>
              <w:t>RR-015</w:t>
            </w:r>
          </w:p>
        </w:tc>
        <w:tc>
          <w:tcPr>
            <w:tcW w:type="dxa" w:w="2200"/>
            <w:tcMar>
              <w:top w:w="80" w:type="dxa"/>
              <w:bottom w:w="80" w:type="dxa"/>
              <w:start w:w="120" w:type="dxa"/>
              <w:end w:w="120" w:type="dxa"/>
            </w:tcMar>
            <w:vAlign w:val="center"/>
          </w:tcPr>
          <w:p>
            <w:pPr>
              <w:spacing w:before="0" w:after="0" w:line="259" w:lineRule="auto"/>
            </w:pPr>
            <w:r>
              <w:rPr>
                <w:rFonts w:ascii="Calibri" w:hAnsi="Calibri"/>
                <w:color w:val="1F2937"/>
                <w:sz w:val="16"/>
              </w:rPr>
              <w:t>Generic pickup acknowledgment.</w:t>
            </w:r>
          </w:p>
        </w:tc>
        <w:tc>
          <w:tcPr>
            <w:tcW w:type="dxa" w:w="4500"/>
            <w:tcMar>
              <w:top w:w="80" w:type="dxa"/>
              <w:bottom w:w="80" w:type="dxa"/>
              <w:start w:w="120" w:type="dxa"/>
              <w:end w:w="120" w:type="dxa"/>
            </w:tcMar>
            <w:vAlign w:val="center"/>
          </w:tcPr>
          <w:p>
            <w:pPr>
              <w:spacing w:before="0" w:after="0" w:line="259" w:lineRule="auto"/>
            </w:pPr>
            <w:r>
              <w:rPr>
                <w:rFonts w:ascii="Calibri" w:hAnsi="Calibri"/>
                <w:color w:val="1F2937"/>
                <w:sz w:val="16"/>
              </w:rPr>
              <w:t>Added the specific pickup and staff details plus the verified curbside boundary.</w:t>
            </w:r>
          </w:p>
        </w:tc>
        <w:tc>
          <w:tcPr>
            <w:tcW w:type="dxa" w:w="1810"/>
            <w:tcMar>
              <w:top w:w="80" w:type="dxa"/>
              <w:bottom w:w="80" w:type="dxa"/>
              <w:start w:w="120" w:type="dxa"/>
              <w:end w:w="120" w:type="dxa"/>
            </w:tcMar>
            <w:vAlign w:val="center"/>
          </w:tcPr>
          <w:p>
            <w:pPr>
              <w:spacing w:before="0" w:after="0" w:line="259" w:lineRule="auto"/>
            </w:pPr>
            <w:r>
              <w:rPr>
                <w:rFonts w:ascii="Calibri" w:hAnsi="Calibri"/>
                <w:color w:val="1F2937"/>
                <w:sz w:val="16"/>
              </w:rPr>
              <w:t>READY FOR BUYER REVIEW</w:t>
            </w:r>
          </w:p>
        </w:tc>
      </w:tr>
      <w:tr>
        <w:trPr>
          <w:cantSplit/>
        </w:trPr>
        <w:tc>
          <w:tcPr>
            <w:tcW w:type="dxa" w:w="85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RR-016</w:t>
            </w:r>
          </w:p>
        </w:tc>
        <w:tc>
          <w:tcPr>
            <w:tcW w:type="dxa" w:w="22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Admits the issue and promises replacement.</w:t>
            </w:r>
          </w:p>
        </w:tc>
        <w:tc>
          <w:tcPr>
            <w:tcW w:type="dxa" w:w="45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Removed the replacement promise and used a privacy-safe manager-review route with no outcome commitment.</w:t>
            </w:r>
          </w:p>
        </w:tc>
        <w:tc>
          <w:tcPr>
            <w:tcW w:type="dxa" w:w="181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HOLD FOR OWNER REVIEW</w:t>
            </w:r>
          </w:p>
        </w:tc>
      </w:tr>
      <w:tr>
        <w:trPr>
          <w:cantSplit/>
        </w:trPr>
        <w:tc>
          <w:tcPr>
            <w:tcW w:type="dxa" w:w="850"/>
            <w:tcMar>
              <w:top w:w="80" w:type="dxa"/>
              <w:bottom w:w="80" w:type="dxa"/>
              <w:start w:w="120" w:type="dxa"/>
              <w:end w:w="120" w:type="dxa"/>
            </w:tcMar>
            <w:vAlign w:val="center"/>
          </w:tcPr>
          <w:p>
            <w:pPr>
              <w:spacing w:before="0" w:after="0" w:line="259" w:lineRule="auto"/>
            </w:pPr>
            <w:r>
              <w:rPr>
                <w:rFonts w:ascii="Calibri" w:hAnsi="Calibri"/>
                <w:color w:val="1F2937"/>
                <w:sz w:val="16"/>
              </w:rPr>
              <w:t>RR-017</w:t>
            </w:r>
          </w:p>
        </w:tc>
        <w:tc>
          <w:tcPr>
            <w:tcW w:type="dxa" w:w="2200"/>
            <w:tcMar>
              <w:top w:w="80" w:type="dxa"/>
              <w:bottom w:w="80" w:type="dxa"/>
              <w:start w:w="120" w:type="dxa"/>
              <w:end w:w="120" w:type="dxa"/>
            </w:tcMar>
            <w:vAlign w:val="center"/>
          </w:tcPr>
          <w:p>
            <w:pPr>
              <w:spacing w:before="0" w:after="0" w:line="259" w:lineRule="auto"/>
            </w:pPr>
            <w:r>
              <w:rPr>
                <w:rFonts w:ascii="Calibri" w:hAnsi="Calibri"/>
                <w:color w:val="1F2937"/>
                <w:sz w:val="16"/>
              </w:rPr>
              <w:t>Defensive denial.</w:t>
            </w:r>
          </w:p>
        </w:tc>
        <w:tc>
          <w:tcPr>
            <w:tcW w:type="dxa" w:w="4500"/>
            <w:tcMar>
              <w:top w:w="80" w:type="dxa"/>
              <w:bottom w:w="80" w:type="dxa"/>
              <w:start w:w="120" w:type="dxa"/>
              <w:end w:w="120" w:type="dxa"/>
            </w:tcMar>
            <w:vAlign w:val="center"/>
          </w:tcPr>
          <w:p>
            <w:pPr>
              <w:spacing w:before="0" w:after="0" w:line="259" w:lineRule="auto"/>
            </w:pPr>
            <w:r>
              <w:rPr>
                <w:rFonts w:ascii="Calibri" w:hAnsi="Calibri"/>
                <w:color w:val="1F2937"/>
                <w:sz w:val="16"/>
              </w:rPr>
              <w:t>Removed a defensive denial and acknowledged the experience without deciding what occurred.</w:t>
            </w:r>
          </w:p>
        </w:tc>
        <w:tc>
          <w:tcPr>
            <w:tcW w:type="dxa" w:w="1810"/>
            <w:tcMar>
              <w:top w:w="80" w:type="dxa"/>
              <w:bottom w:w="80" w:type="dxa"/>
              <w:start w:w="120" w:type="dxa"/>
              <w:end w:w="120" w:type="dxa"/>
            </w:tcMar>
            <w:vAlign w:val="center"/>
          </w:tcPr>
          <w:p>
            <w:pPr>
              <w:spacing w:before="0" w:after="0" w:line="259" w:lineRule="auto"/>
            </w:pPr>
            <w:r>
              <w:rPr>
                <w:rFonts w:ascii="Calibri" w:hAnsi="Calibri"/>
                <w:color w:val="1F2937"/>
                <w:sz w:val="16"/>
              </w:rPr>
              <w:t>READY AFTER OWNER AWARENESS</w:t>
            </w:r>
          </w:p>
        </w:tc>
      </w:tr>
      <w:tr>
        <w:trPr>
          <w:cantSplit/>
        </w:trPr>
        <w:tc>
          <w:tcPr>
            <w:tcW w:type="dxa" w:w="85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RR-018</w:t>
            </w:r>
          </w:p>
        </w:tc>
        <w:tc>
          <w:tcPr>
            <w:tcW w:type="dxa" w:w="22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Dismissive timing language.</w:t>
            </w:r>
          </w:p>
        </w:tc>
        <w:tc>
          <w:tcPr>
            <w:tcW w:type="dxa" w:w="45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Made the response balanced and specific while grounding timing language in the verified special-order process.</w:t>
            </w:r>
          </w:p>
        </w:tc>
        <w:tc>
          <w:tcPr>
            <w:tcW w:type="dxa" w:w="181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READY FOR BUYER REVIEW</w:t>
            </w:r>
          </w:p>
        </w:tc>
      </w:tr>
      <w:tr>
        <w:trPr>
          <w:cantSplit/>
        </w:trPr>
        <w:tc>
          <w:tcPr>
            <w:tcW w:type="dxa" w:w="850"/>
            <w:tcMar>
              <w:top w:w="80" w:type="dxa"/>
              <w:bottom w:w="80" w:type="dxa"/>
              <w:start w:w="120" w:type="dxa"/>
              <w:end w:w="120" w:type="dxa"/>
            </w:tcMar>
            <w:vAlign w:val="center"/>
          </w:tcPr>
          <w:p>
            <w:pPr>
              <w:spacing w:before="0" w:after="0" w:line="259" w:lineRule="auto"/>
            </w:pPr>
            <w:r>
              <w:rPr>
                <w:rFonts w:ascii="Calibri" w:hAnsi="Calibri"/>
                <w:color w:val="1F2937"/>
                <w:sz w:val="16"/>
              </w:rPr>
              <w:t>RR-019</w:t>
            </w:r>
          </w:p>
        </w:tc>
        <w:tc>
          <w:tcPr>
            <w:tcW w:type="dxa" w:w="2200"/>
            <w:tcMar>
              <w:top w:w="80" w:type="dxa"/>
              <w:bottom w:w="80" w:type="dxa"/>
              <w:start w:w="120" w:type="dxa"/>
              <w:end w:w="120" w:type="dxa"/>
            </w:tcMar>
            <w:vAlign w:val="center"/>
          </w:tcPr>
          <w:p>
            <w:pPr>
              <w:spacing w:before="0" w:after="0" w:line="259" w:lineRule="auto"/>
            </w:pPr>
            <w:r>
              <w:rPr>
                <w:rFonts w:ascii="Calibri" w:hAnsi="Calibri"/>
                <w:color w:val="1F2937"/>
                <w:sz w:val="16"/>
              </w:rPr>
              <w:t>Policy-only; no empathy or review route.</w:t>
            </w:r>
          </w:p>
        </w:tc>
        <w:tc>
          <w:tcPr>
            <w:tcW w:type="dxa" w:w="4500"/>
            <w:tcMar>
              <w:top w:w="80" w:type="dxa"/>
              <w:bottom w:w="80" w:type="dxa"/>
              <w:start w:w="120" w:type="dxa"/>
              <w:end w:w="120" w:type="dxa"/>
            </w:tcMar>
            <w:vAlign w:val="center"/>
          </w:tcPr>
          <w:p>
            <w:pPr>
              <w:spacing w:before="0" w:after="0" w:line="259" w:lineRule="auto"/>
            </w:pPr>
            <w:r>
              <w:rPr>
                <w:rFonts w:ascii="Calibri" w:hAnsi="Calibri"/>
                <w:color w:val="1F2937"/>
                <w:sz w:val="16"/>
              </w:rPr>
              <w:t>Added empathy, the exact confirmation and availability facts, and a non-promissory private review route.</w:t>
            </w:r>
          </w:p>
        </w:tc>
        <w:tc>
          <w:tcPr>
            <w:tcW w:type="dxa" w:w="1810"/>
            <w:tcMar>
              <w:top w:w="80" w:type="dxa"/>
              <w:bottom w:w="80" w:type="dxa"/>
              <w:start w:w="120" w:type="dxa"/>
              <w:end w:w="120" w:type="dxa"/>
            </w:tcMar>
            <w:vAlign w:val="center"/>
          </w:tcPr>
          <w:p>
            <w:pPr>
              <w:spacing w:before="0" w:after="0" w:line="259" w:lineRule="auto"/>
            </w:pPr>
            <w:r>
              <w:rPr>
                <w:rFonts w:ascii="Calibri" w:hAnsi="Calibri"/>
                <w:color w:val="1F2937"/>
                <w:sz w:val="16"/>
              </w:rPr>
              <w:t>HOLD FOR OWNER REVIEW</w:t>
            </w:r>
          </w:p>
        </w:tc>
      </w:tr>
      <w:tr>
        <w:trPr>
          <w:cantSplit/>
        </w:trPr>
        <w:tc>
          <w:tcPr>
            <w:tcW w:type="dxa" w:w="85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RR-020</w:t>
            </w:r>
          </w:p>
        </w:tc>
        <w:tc>
          <w:tcPr>
            <w:tcW w:type="dxa" w:w="22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Rating-centered and generic.</w:t>
            </w:r>
          </w:p>
        </w:tc>
        <w:tc>
          <w:tcPr>
            <w:tcW w:type="dxa" w:w="450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Replaced a rating-only reply with a concise response tailored to the event and product details.</w:t>
            </w:r>
          </w:p>
        </w:tc>
        <w:tc>
          <w:tcPr>
            <w:tcW w:type="dxa" w:w="1810"/>
            <w:tcMar>
              <w:top w:w="80" w:type="dxa"/>
              <w:bottom w:w="80" w:type="dxa"/>
              <w:start w:w="120" w:type="dxa"/>
              <w:end w:w="120" w:type="dxa"/>
            </w:tcMar>
            <w:vAlign w:val="center"/>
            <w:shd w:fill="E8F4F1"/>
          </w:tcPr>
          <w:p>
            <w:pPr>
              <w:spacing w:before="0" w:after="0" w:line="259" w:lineRule="auto"/>
            </w:pPr>
            <w:r>
              <w:rPr>
                <w:rFonts w:ascii="Calibri" w:hAnsi="Calibri"/>
                <w:color w:val="1F2937"/>
                <w:sz w:val="16"/>
              </w:rPr>
              <w:t>READY FOR BUYER REVIEW</w:t>
            </w:r>
          </w:p>
        </w:tc>
      </w:tr>
    </w:tbl>
    <w:p>
      <w:pPr>
        <w:spacing w:before="0" w:after="0"/>
      </w:pPr>
      <w:r>
        <w:br w:type="page"/>
      </w:r>
    </w:p>
    <w:p>
      <w:pPr>
        <w:pStyle w:val="Kicker"/>
      </w:pPr>
      <w:r>
        <w:t>FINAL GATE</w:t>
      </w:r>
    </w:p>
    <w:p>
      <w:pPr>
        <w:pStyle w:val="Heading1"/>
      </w:pPr>
      <w:r>
        <w:t>Pre-publication checklist</w:t>
      </w:r>
    </w:p>
    <w:p>
      <w:pPr>
        <w:pStyle w:val="BodyList"/>
        <w:numPr>
          <w:ilvl w:val="0"/>
          <w:numId w:val="10"/>
        </w:numPr>
      </w:pPr>
      <w:r>
        <w:rPr>
          <w:rFonts w:ascii="Calibri" w:hAnsi="Calibri"/>
          <w:color w:val="1F2937"/>
          <w:sz w:val="22"/>
        </w:rPr>
        <w:t>Confirm the review text is authentic, public, de-identified, and still in scope.</w:t>
      </w:r>
    </w:p>
    <w:p>
      <w:pPr>
        <w:pStyle w:val="BodyList"/>
        <w:numPr>
          <w:ilvl w:val="0"/>
          <w:numId w:val="10"/>
        </w:numPr>
      </w:pPr>
      <w:r>
        <w:rPr>
          <w:rFonts w:ascii="Calibri" w:hAnsi="Calibri"/>
          <w:color w:val="1F2937"/>
          <w:sz w:val="22"/>
        </w:rPr>
        <w:t>Re-read the original review before approving the response.</w:t>
      </w:r>
    </w:p>
    <w:p>
      <w:pPr>
        <w:pStyle w:val="BodyList"/>
        <w:numPr>
          <w:ilvl w:val="0"/>
          <w:numId w:val="10"/>
        </w:numPr>
      </w:pPr>
      <w:r>
        <w:rPr>
          <w:rFonts w:ascii="Calibri" w:hAnsi="Calibri"/>
          <w:color w:val="1F2937"/>
          <w:sz w:val="22"/>
        </w:rPr>
        <w:t>Verify that each business-specific statement maps to the fact library or review text.</w:t>
      </w:r>
    </w:p>
    <w:p>
      <w:pPr>
        <w:pStyle w:val="BodyList"/>
        <w:numPr>
          <w:ilvl w:val="0"/>
          <w:numId w:val="10"/>
        </w:numPr>
      </w:pPr>
      <w:r>
        <w:rPr>
          <w:rFonts w:ascii="Calibri" w:hAnsi="Calibri"/>
          <w:color w:val="1F2937"/>
          <w:sz w:val="22"/>
        </w:rPr>
        <w:t>Confirm the draft stays between 20 and 110 words and uses no more than three controlled issue tags.</w:t>
      </w:r>
    </w:p>
    <w:p>
      <w:pPr>
        <w:pStyle w:val="BodyList"/>
        <w:numPr>
          <w:ilvl w:val="0"/>
          <w:numId w:val="10"/>
        </w:numPr>
      </w:pPr>
      <w:r>
        <w:rPr>
          <w:rFonts w:ascii="Calibri" w:hAnsi="Calibri"/>
          <w:color w:val="1F2937"/>
          <w:sz w:val="22"/>
        </w:rPr>
        <w:t>Confirm the approved signature appears exactly once at the end.</w:t>
      </w:r>
    </w:p>
    <w:p>
      <w:pPr>
        <w:pStyle w:val="BodyList"/>
        <w:numPr>
          <w:ilvl w:val="0"/>
          <w:numId w:val="10"/>
        </w:numPr>
      </w:pPr>
      <w:r>
        <w:rPr>
          <w:rFonts w:ascii="Calibri" w:hAnsi="Calibri"/>
          <w:color w:val="1F2937"/>
          <w:sz w:val="22"/>
        </w:rPr>
        <w:t>Confirm the approved .example contact route appears only in E2 drafts.</w:t>
      </w:r>
    </w:p>
    <w:p>
      <w:pPr>
        <w:pStyle w:val="BodyList"/>
        <w:numPr>
          <w:ilvl w:val="0"/>
          <w:numId w:val="10"/>
        </w:numPr>
      </w:pPr>
      <w:r>
        <w:rPr>
          <w:rFonts w:ascii="Calibri" w:hAnsi="Calibri"/>
          <w:color w:val="1F2937"/>
          <w:sz w:val="22"/>
        </w:rPr>
        <w:t>Remove any invented fact, admission, threat, outcome promise, private detail, review-change request, or rating manipulation.</w:t>
      </w:r>
    </w:p>
    <w:p>
      <w:pPr>
        <w:pStyle w:val="BodyList"/>
        <w:numPr>
          <w:ilvl w:val="0"/>
          <w:numId w:val="10"/>
        </w:numPr>
      </w:pPr>
      <w:r>
        <w:rPr>
          <w:rFonts w:ascii="Calibri" w:hAnsi="Calibri"/>
          <w:color w:val="1F2937"/>
          <w:sz w:val="22"/>
        </w:rPr>
        <w:t>For E2, complete manager review before publication and request only the minimum private context.</w:t>
      </w:r>
    </w:p>
    <w:p>
      <w:pPr>
        <w:pStyle w:val="BodyList"/>
        <w:numPr>
          <w:ilvl w:val="0"/>
          <w:numId w:val="10"/>
        </w:numPr>
      </w:pPr>
      <w:r>
        <w:rPr>
          <w:rFonts w:ascii="Calibri" w:hAnsi="Calibri"/>
          <w:color w:val="1F2937"/>
          <w:sz w:val="22"/>
        </w:rPr>
        <w:t>Approve or edit, then paste manually; do not automate posting or reviewer contact.</w:t>
      </w:r>
    </w:p>
    <w:p>
      <w:pPr>
        <w:pStyle w:val="Heading1"/>
      </w:pPr>
      <w:r>
        <w:t>Proof limitations</w:t>
      </w:r>
    </w:p>
    <w:p>
      <w:pPr>
        <w:pStyle w:val="BoundaryCallout"/>
        <w:shd w:fill="FFF1D6"/>
        <w:keepNext w:val="0"/>
        <w:keepLines/>
        <w:pBdr>
          <w:left w:val="single" w:sz="18" w:space="8" w:color="C3953D"/>
        </w:pBdr>
      </w:pPr>
      <w:r>
        <w:rPr>
          <w:rFonts w:ascii="Calibri" w:hAnsi="Calibri"/>
          <w:b/>
          <w:color w:val="17324D"/>
          <w:sz w:val="20"/>
        </w:rPr>
        <w:t xml:space="preserve">FICTIONAL DEMO: </w:t>
      </w:r>
      <w:r>
        <w:rPr>
          <w:rFonts w:ascii="Calibri" w:hAnsi="Calibri"/>
          <w:color w:val="1F2937"/>
          <w:sz w:val="20"/>
        </w:rPr>
        <w:t>All business, location, reviewer, review, order, event, staff, and contact details are fictional. The .example email cannot receive mail. This proof does not claim response publication, review removal, rating improvement, ranking, recovery, conversion, revenue, or any other outcome.</w:t>
      </w:r>
    </w:p>
    <w:p>
      <w:pPr>
        <w:pStyle w:val="BoundaryCallout"/>
        <w:shd w:fill="E8F4F1"/>
        <w:keepNext w:val="0"/>
        <w:keepLines/>
        <w:pBdr>
          <w:left w:val="single" w:sz="18" w:space="8" w:color="246B67"/>
        </w:pBdr>
      </w:pPr>
      <w:r>
        <w:rPr>
          <w:rFonts w:ascii="Calibri" w:hAnsi="Calibri"/>
          <w:b/>
          <w:color w:val="17324D"/>
          <w:sz w:val="20"/>
        </w:rPr>
        <w:t xml:space="preserve">LIVE-ORDER BOUNDARY: </w:t>
      </w:r>
      <w:r>
        <w:rPr>
          <w:rFonts w:ascii="Calibri" w:hAnsi="Calibri"/>
          <w:color w:val="1F2937"/>
          <w:sz w:val="20"/>
        </w:rPr>
        <w:t>A live order requires buyer-supplied authentic public reviews and verified facts. Customer content is deleted within 72 hours after initial delivery; the operational evidence log remains content-free.</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0"/>
    </w:pPr>
    <w:r/>
    <w:r>
      <w:rPr>
        <w:rFonts w:ascii="Calibri" w:hAnsi="Calibri"/>
        <w:color w:val="60707D"/>
        <w:sz w:val="17"/>
      </w:rPr>
      <w:t>FICTIONAL DEMO - BUYER REVIEW REQUIRED</w:t>
    </w:r>
    <w:r>
      <w:tab/>
      <w:t xml:space="preserve">Page </w:t>
    </w:r>
    <w:r>
      <w:rPr>
        <w:rFonts w:ascii="Calibri" w:hAnsi="Calibri"/>
        <w:color w:val="60707D"/>
        <w:sz w:val="17"/>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bullet"/>
      <w:lvlText w:val=""/>
      <w:lvlJc w:val="left"/>
      <w:pPr>
        <w:tabs>
          <w:tab w:val="num" w:pos="540"/>
        </w:tabs>
        <w:ind w:left="540" w:hanging="270"/>
        <w:spacing w:after="80" w:line="300" w:lineRule="auto"/>
      </w:pPr>
      <w:rPr>
        <w:rFonts w:ascii="Symbol" w:hAnsi="Symbol"/>
      </w:rPr>
    </w:lvl>
  </w:abstractNum>
  <w:abstractNum w:abstractNumId="10">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7324D"/>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440" w:line="276" w:lineRule="auto"/>
    </w:pPr>
    <w:rPr>
      <w:rFonts w:asciiTheme="majorHAnsi" w:eastAsiaTheme="majorEastAsia" w:hAnsiTheme="majorHAnsi" w:cstheme="majorBidi" w:ascii="Calibri" w:hAnsi="Calibri"/>
      <w:i/>
      <w:iCs/>
      <w:color w:val="60707D"/>
      <w:spacing w:val="15"/>
      <w:sz w:val="27"/>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basedOn w:val="Normal"/>
    <w:pPr>
      <w:keepNext/>
      <w:spacing w:before="0" w:after="0"/>
    </w:pPr>
    <w:rPr>
      <w:rFonts w:ascii="Calibri" w:hAnsi="Calibri"/>
      <w:b/>
      <w:color w:val="C3953D"/>
      <w:sz w:val="18"/>
    </w:rPr>
  </w:style>
  <w:style w:type="paragraph" w:customStyle="1" w:styleId="BodyList">
    <w:name w:val="Body List"/>
    <w:basedOn w:val="Normal"/>
    <w:pPr>
      <w:spacing w:before="0" w:after="80" w:line="300" w:lineRule="auto"/>
    </w:pPr>
    <w:rPr>
      <w:rFonts w:ascii="Calibri" w:hAnsi="Calibri"/>
      <w:sz w:val="22"/>
    </w:rPr>
  </w:style>
  <w:style w:type="paragraph" w:customStyle="1" w:styleId="BodySteps">
    <w:name w:val="Body Steps"/>
    <w:basedOn w:val="Normal"/>
    <w:pPr>
      <w:spacing w:before="0" w:after="80" w:line="300" w:lineRule="auto"/>
    </w:pPr>
    <w:rPr>
      <w:rFonts w:ascii="Calibri" w:hAnsi="Calibri"/>
      <w:sz w:val="22"/>
    </w:rPr>
  </w:style>
  <w:style w:type="paragraph" w:customStyle="1" w:styleId="TableNote">
    <w:name w:val="Table Note"/>
    <w:basedOn w:val="Normal"/>
    <w:pPr>
      <w:keepNext/>
      <w:spacing w:before="80" w:after="80"/>
    </w:pPr>
    <w:rPr>
      <w:rFonts w:ascii="Calibri" w:hAnsi="Calibri"/>
      <w:i/>
      <w:color w:val="60707D"/>
      <w:sz w:val="17"/>
    </w:rPr>
  </w:style>
  <w:style w:type="paragraph" w:customStyle="1" w:styleId="BoundaryCallout">
    <w:name w:val="Boundary Callout"/>
    <w:basedOn w:val="Normal"/>
    <w:pPr>
      <w:spacing w:before="120" w:after="160" w:line="276" w:lineRule="auto"/>
      <w:ind w:left="173" w:right="115"/>
    </w:pPr>
    <w:rPr>
      <w:rFonts w:ascii="Calibri" w:hAnsi="Calibri"/>
      <w:sz w:val="20"/>
    </w:rPr>
  </w:style>
  <w:style w:type="paragraph" w:customStyle="1" w:styleId="CardMetadata">
    <w:name w:val="Card Metadata"/>
    <w:basedOn w:val="Normal"/>
    <w:pPr>
      <w:spacing w:before="0" w:after="80" w:line="259" w:lineRule="auto"/>
    </w:pPr>
    <w:rPr>
      <w:rFonts w:ascii="Calibri" w:hAnsi="Calibri"/>
      <w:sz w:val="17"/>
    </w:rPr>
  </w:style>
  <w:style w:type="paragraph" w:customStyle="1" w:styleId="CardText">
    <w:name w:val="Card Text"/>
    <w:basedOn w:val="Normal"/>
    <w:pPr>
      <w:spacing w:before="60" w:after="100" w:line="269" w:lineRule="auto"/>
      <w:ind w:left="173" w:right="115"/>
    </w:pPr>
    <w:rPr>
      <w:rFonts w:ascii="Calibri" w:hAnsi="Calibri"/>
      <w:sz w:val="19"/>
    </w:rPr>
  </w:style>
  <w:style w:type="paragraph" w:customStyle="1" w:styleId="TraceNote">
    <w:name w:val="Trace Note"/>
    <w:basedOn w:val="Normal"/>
    <w:pPr>
      <w:spacing w:before="40" w:after="140" w:line="259" w:lineRule="auto"/>
    </w:pPr>
    <w:rPr>
      <w:rFonts w:ascii="Calibri" w:hAnsi="Calibri"/>
      <w:i/>
      <w:color w:val="60707D"/>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Response Rescue Tonight - Fictional Proof Bundle</dc:title>
  <dc:subject>Twenty fictional public-review response drafts with escalation and claim traceability</dc:subject>
  <dc:creator/>
  <cp:keywords>fictional demo, review response, escalation, claim traceability, response book</cp:keywords>
  <dc:description>FICTIONAL DEMO ONLY - NOT A CUSTOMER ENGAGEMENT</dc:description>
  <cp:lastModifiedBy/>
  <cp:revision>1</cp:revision>
  <dcterms:created xsi:type="dcterms:W3CDTF">2013-12-23T23:15:00Z</dcterms:created>
  <dcterms:modified xsi:type="dcterms:W3CDTF">2013-12-23T23:15:00Z</dcterms:modified>
  <cp:category/>
</cp:coreProperties>
</file>