
<file path=[Content_Types].xml><?xml version="1.0" encoding="utf-8"?>
<ns0:Types xmlns:ns0="http://schemas.openxmlformats.org/package/2006/content-types">
  <ns0:Default Extension="jpeg" ContentType="image/jpeg"/>
  <ns0:Default Extension="rels" ContentType="application/vnd.openxmlformats-package.relationships+xml"/>
  <ns0:Default Extension="xml" ContentType="application/xml"/>
  <ns0:Override PartName="/docProps/app.xml" ContentType="application/vnd.openxmlformats-officedocument.extended-properties+xml"/>
  <ns0:Override PartName="/docProps/core.xml" ContentType="application/vnd.openxmlformats-package.core-properties+xml"/>
  <ns0:Override PartName="/word/document.xml" ContentType="application/vnd.openxmlformats-officedocument.wordprocessingml.document.main+xml"/>
  <ns0:Override PartName="/word/fontTable.xml" ContentType="application/vnd.openxmlformats-officedocument.wordprocessingml.fontTable+xml"/>
  <ns0:Override PartName="/word/footer1.xml" ContentType="application/vnd.openxmlformats-officedocument.wordprocessingml.footer+xml"/>
  <ns0:Override PartName="/word/header1.xml" ContentType="application/vnd.openxmlformats-officedocument.wordprocessingml.header+xml"/>
  <ns0:Override PartName="/word/numbering.xml" ContentType="application/vnd.openxmlformats-officedocument.wordprocessingml.numbering+xml"/>
  <ns0:Override PartName="/word/settings.xml" ContentType="application/vnd.openxmlformats-officedocument.wordprocessingml.settings+xml"/>
  <ns0:Override PartName="/word/styles.xml" ContentType="application/vnd.openxmlformats-officedocument.wordprocessingml.styles+xml"/>
  <ns0:Override PartName="/word/stylesWithEffects.xml" ContentType="application/vnd.ms-word.stylesWithEffects+xml"/>
  <ns0:Override PartName="/word/theme/theme1.xml" ContentType="application/vnd.openxmlformats-officedocument.theme+xml"/>
  <ns0:Override PartName="/word/webSettings.xml" ContentType="application/vnd.openxmlformats-officedocument.wordprocessingml.webSettings+xml"/>
</ns0: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</w:pPr>
      <w:r>
        <w:rPr>
          <w:rFonts w:ascii="Calibri" w:hAnsi="Calibri"/>
          <w:b/>
          <w:color w:val="1F6B68"/>
          <w:sz w:val="18"/>
        </w:rPr>
        <w:t>PROOF BUNDLE  /  17 AUGUST 2026</w:t>
      </w:r>
    </w:p>
    <w:p>
      <w:pPr>
        <w:pStyle w:val="Title"/>
      </w:pPr>
      <w:r>
        <w:t>Customer Support</w:t>
        <w:br/>
        <w:t>Macro Rescue</w:t>
      </w:r>
    </w:p>
    <w:p>
      <w:pPr>
        <w:pStyle w:val="Subtitle"/>
      </w:pPr>
      <w:r>
        <w:rPr>
          <w:rFonts w:ascii="Calibri" w:hAnsi="Calibri"/>
          <w:color w:val="5C6B76"/>
          <w:sz w:val="30"/>
        </w:rPr>
        <w:t>A source-grounded, ready-to-paste support system for one fictional desk-goods shop.</w:t>
      </w:r>
    </w:p>
    <w:p>
      <w:pPr>
        <w:pStyle w:val="Callout"/>
        <w:keepNext w:val="0"/>
        <w:keepLines/>
        <w:shd w:fill="FFF0D6"/>
        <w:pBdr>
          <w:left w:val="single" w:sz="18" w:space="8" w:color="D89A27"/>
        </w:pBdr>
      </w:pPr>
      <w:r>
        <w:rPr>
          <w:rFonts w:ascii="Calibri" w:hAnsi="Calibri"/>
          <w:b/>
          <w:color w:val="17324D"/>
          <w:sz w:val="19"/>
        </w:rPr>
        <w:t xml:space="preserve">FICTIONAL DEMO ONLY: </w:t>
      </w:r>
      <w:r>
        <w:rPr>
          <w:rFonts w:ascii="Calibri" w:hAnsi="Calibri"/>
          <w:color w:val="1F2937"/>
          <w:sz w:val="19"/>
        </w:rPr>
        <w:t>No real business, customer, case, order, account, platform, or personal data. Original, rights-cleared content; not for publication.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340"/>
        <w:gridCol w:w="2340"/>
        <w:gridCol w:w="2340"/>
        <w:gridCol w:w="2340"/>
      </w:tblGrid>
      <w:tr>
        <w:trPr>
          <w:cantSplit/>
          <w:tblHeader w:val="true"/>
        </w:trPr>
        <w:tc>
          <w:tcPr>
            <w:tcW w:type="dxa" w:w="2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7324D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/>
                <w:b/>
                <w:color w:val="FFFFFF"/>
                <w:sz w:val="44"/>
                <w:lang w:val="en-US"/>
              </w:rPr>
              <w:t>25</w:t>
            </w:r>
          </w:p>
        </w:tc>
        <w:tc>
          <w:tcPr>
            <w:tcW w:type="dxa" w:w="2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7324D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/>
                <w:b/>
                <w:color w:val="FFFFFF"/>
                <w:sz w:val="44"/>
                <w:lang w:val="en-US"/>
              </w:rPr>
              <w:t>12</w:t>
            </w:r>
          </w:p>
        </w:tc>
        <w:tc>
          <w:tcPr>
            <w:tcW w:type="dxa" w:w="2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7324D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/>
                <w:b/>
                <w:color w:val="FFFFFF"/>
                <w:sz w:val="44"/>
                <w:lang w:val="en-US"/>
              </w:rPr>
              <w:t>8</w:t>
            </w:r>
          </w:p>
        </w:tc>
        <w:tc>
          <w:tcPr>
            <w:tcW w:type="dxa" w:w="2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7324D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/>
                <w:b/>
                <w:color w:val="FFFFFF"/>
                <w:sz w:val="44"/>
                <w:lang w:val="en-US"/>
              </w:rPr>
              <w:t>12</w:t>
            </w:r>
          </w:p>
        </w:tc>
      </w:tr>
      <w:tr>
        <w:trPr>
          <w:cantSplit/>
        </w:trPr>
        <w:tc>
          <w:tcPr>
            <w:tcW w:type="dxa" w:w="2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/>
                <w:b/>
                <w:color w:val="1F6B68"/>
                <w:sz w:val="18"/>
              </w:rPr>
              <w:t>approved macros</w:t>
            </w:r>
          </w:p>
        </w:tc>
        <w:tc>
          <w:tcPr>
            <w:tcW w:type="dxa" w:w="2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/>
                <w:b/>
                <w:color w:val="1F6B68"/>
                <w:sz w:val="18"/>
              </w:rPr>
              <w:t>issue tags</w:t>
            </w:r>
          </w:p>
        </w:tc>
        <w:tc>
          <w:tcPr>
            <w:tcW w:type="dxa" w:w="2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/>
                <w:b/>
                <w:color w:val="1F6B68"/>
                <w:sz w:val="18"/>
              </w:rPr>
              <w:t>escalation rules</w:t>
            </w:r>
          </w:p>
        </w:tc>
        <w:tc>
          <w:tcPr>
            <w:tcW w:type="dxa" w:w="2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/>
                <w:b/>
                <w:color w:val="1F6B68"/>
                <w:sz w:val="18"/>
              </w:rPr>
              <w:t>FAQ entries</w:t>
            </w:r>
          </w:p>
        </w:tc>
      </w:tr>
    </w:tbl>
    <w:p/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700"/>
        <w:gridCol w:w="1700"/>
        <w:gridCol w:w="2560"/>
        <w:gridCol w:w="2400"/>
      </w:tblGrid>
      <w:tr>
        <w:trPr>
          <w:cantSplit/>
          <w:tblHeader w:val="true"/>
        </w:trPr>
        <w:tc>
          <w:tcPr>
            <w:tcW w:type="dxa" w:w="27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7"/>
                <w:lang w:val="en-US"/>
              </w:rPr>
              <w:t>Business</w:t>
            </w:r>
          </w:p>
        </w:tc>
        <w:tc>
          <w:tcPr>
            <w:tcW w:type="dxa" w:w="17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7"/>
                <w:lang w:val="en-US"/>
              </w:rPr>
              <w:t>Channels</w:t>
            </w:r>
          </w:p>
        </w:tc>
        <w:tc>
          <w:tcPr>
            <w:tcW w:type="dxa" w:w="25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7"/>
                <w:lang w:val="en-US"/>
              </w:rPr>
              <w:t>Tone</w:t>
            </w:r>
          </w:p>
        </w:tc>
        <w:tc>
          <w:tcPr>
            <w:tcW w:type="dxa" w:w="24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7"/>
                <w:lang w:val="en-US"/>
              </w:rPr>
              <w:t>Accepted source</w:t>
            </w:r>
          </w:p>
        </w:tc>
      </w:tr>
      <w:tr>
        <w:trPr>
          <w:cantSplit/>
        </w:trPr>
        <w:tc>
          <w:tcPr>
            <w:tcW w:type="dxa" w:w="27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Juniper Row Desk Goods</w:t>
            </w:r>
          </w:p>
        </w:tc>
        <w:tc>
          <w:tcPr>
            <w:tcW w:type="dxa" w:w="17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Email + chat</w:t>
            </w:r>
          </w:p>
        </w:tc>
        <w:tc>
          <w:tcPr>
            <w:tcW w:type="dxa" w:w="25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Warm / direct / practical</w:t>
            </w:r>
          </w:p>
        </w:tc>
        <w:tc>
          <w:tcPr>
            <w:tcW w:type="dxa" w:w="24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SRC-001 | 27 exact policy facts</w:t>
            </w:r>
          </w:p>
        </w:tc>
      </w:tr>
    </w:tbl>
    <w:p>
      <w:pPr>
        <w:pStyle w:val="Callout"/>
        <w:keepNext w:val="0"/>
        <w:keepLines/>
        <w:shd w:fill="F7F2E8"/>
        <w:pBdr>
          <w:left w:val="single" w:sz="18" w:space="8" w:color="1F6B68"/>
        </w:pBdr>
      </w:pPr>
      <w:r>
        <w:rPr>
          <w:rFonts w:ascii="Calibri" w:hAnsi="Calibri"/>
          <w:b/>
          <w:color w:val="17324D"/>
          <w:sz w:val="19"/>
        </w:rPr>
        <w:t xml:space="preserve">READ FIRST: </w:t>
      </w:r>
      <w:r>
        <w:rPr>
          <w:rFonts w:ascii="Calibri" w:hAnsi="Calibri"/>
          <w:color w:val="1F2937"/>
          <w:sz w:val="19"/>
        </w:rPr>
        <w:t>Replace only declared placeholders. If an accepted fact is missing or conflicts, use the matching role-based escalation; never guess or promise an outcome, remedy, exception, or response time.</w:t>
      </w:r>
    </w:p>
    <w:p>
      <w:pPr>
        <w:spacing w:before="0" w:after="0"/>
      </w:pPr>
      <w:r>
        <w:br w:type="page"/>
      </w:r>
    </w:p>
    <w:p>
      <w:pPr>
        <w:pStyle w:val="Heading1"/>
      </w:pPr>
      <w:r>
        <w:t>Handoff map</w:t>
      </w:r>
    </w:p>
    <w:p>
      <w:r>
        <w:rPr>
          <w:rFonts w:ascii="Calibri" w:hAnsi="Calibri"/>
          <w:color w:val="1F2937"/>
          <w:sz w:val="22"/>
        </w:rPr>
        <w:t>This editable handbook mirrors the production workbook and keeps every factual clause adjacent to its source-policy IDs.</w:t>
      </w:r>
    </w:p>
    <w:p>
      <w:pPr>
        <w:pStyle w:val="BodyList"/>
        <w:numPr>
          <w:ilvl w:val="0"/>
          <w:numId w:val="11"/>
        </w:numPr>
      </w:pPr>
      <w:r>
        <w:rPr>
          <w:rFonts w:ascii="Calibri" w:hAnsi="Calibri"/>
          <w:color w:val="1F2937"/>
          <w:sz w:val="22"/>
        </w:rPr>
        <w:t>Find the closest question-specific macro or controlled shared macro.</w:t>
      </w:r>
    </w:p>
    <w:p>
      <w:pPr>
        <w:pStyle w:val="BodyList"/>
        <w:numPr>
          <w:ilvl w:val="0"/>
          <w:numId w:val="11"/>
        </w:numPr>
      </w:pPr>
      <w:r>
        <w:rPr>
          <w:rFonts w:ascii="Calibri" w:hAnsi="Calibri"/>
          <w:color w:val="1F2937"/>
          <w:sz w:val="22"/>
        </w:rPr>
        <w:t>Confirm the trigger, channels, tags, and do-not-use boundary.</w:t>
      </w:r>
    </w:p>
    <w:p>
      <w:pPr>
        <w:pStyle w:val="BodyList"/>
        <w:numPr>
          <w:ilvl w:val="0"/>
          <w:numId w:val="11"/>
        </w:numPr>
      </w:pPr>
      <w:r>
        <w:rPr>
          <w:rFonts w:ascii="Calibri" w:hAnsi="Calibri"/>
          <w:color w:val="1F2937"/>
          <w:sz w:val="22"/>
        </w:rPr>
        <w:t>Replace only the placeholders declared on that macro.</w:t>
      </w:r>
    </w:p>
    <w:p>
      <w:pPr>
        <w:pStyle w:val="BodyList"/>
        <w:numPr>
          <w:ilvl w:val="0"/>
          <w:numId w:val="11"/>
        </w:numPr>
      </w:pPr>
      <w:r>
        <w:rPr>
          <w:rFonts w:ascii="Calibri" w:hAnsi="Calibri"/>
          <w:color w:val="1F2937"/>
          <w:sz w:val="22"/>
        </w:rPr>
        <w:t>Use the listed issue tags; do not create a new policy interpretation.</w:t>
      </w:r>
    </w:p>
    <w:p>
      <w:pPr>
        <w:pStyle w:val="BodyList"/>
        <w:numPr>
          <w:ilvl w:val="0"/>
          <w:numId w:val="11"/>
        </w:numPr>
      </w:pPr>
      <w:r>
        <w:rPr>
          <w:rFonts w:ascii="Calibri" w:hAnsi="Calibri"/>
          <w:color w:val="1F2937"/>
          <w:sz w:val="22"/>
        </w:rPr>
        <w:t>If an escalation rule triggers, use its role-based handoff exactly as bounded.</w:t>
      </w:r>
    </w:p>
    <w:p>
      <w:pPr>
        <w:pStyle w:val="BodyList"/>
        <w:numPr>
          <w:ilvl w:val="0"/>
          <w:numId w:val="11"/>
        </w:numPr>
      </w:pPr>
      <w:r>
        <w:rPr>
          <w:rFonts w:ascii="Calibri" w:hAnsi="Calibri"/>
          <w:color w:val="1F2937"/>
          <w:sz w:val="22"/>
        </w:rPr>
        <w:t>Check the Source Map before changing any factual language.</w:t>
      </w:r>
    </w:p>
    <w:p>
      <w:pPr>
        <w:pStyle w:val="Heading2"/>
      </w:pPr>
      <w:r>
        <w:t>Approved placeholders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700"/>
        <w:gridCol w:w="6660"/>
      </w:tblGrid>
      <w:tr>
        <w:trPr>
          <w:cantSplit/>
          <w:tblHeader w:val="true"/>
        </w:trPr>
        <w:tc>
          <w:tcPr>
            <w:tcW w:type="dxa" w:w="27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8"/>
                <w:lang w:val="en-US"/>
              </w:rPr>
              <w:t>Placeholder</w:t>
            </w:r>
          </w:p>
        </w:tc>
        <w:tc>
          <w:tcPr>
            <w:tcW w:type="dxa" w:w="66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8"/>
                <w:lang w:val="en-US"/>
              </w:rPr>
              <w:t>Approved use</w:t>
            </w:r>
          </w:p>
        </w:tc>
      </w:tr>
      <w:tr>
        <w:trPr>
          <w:cantSplit/>
        </w:trPr>
        <w:tc>
          <w:tcPr>
            <w:tcW w:type="dxa" w:w="27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{{first_name}}</w:t>
            </w:r>
          </w:p>
        </w:tc>
        <w:tc>
          <w:tcPr>
            <w:tcW w:type="dxa" w:w="66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Customer-facing greeting only</w:t>
            </w:r>
          </w:p>
        </w:tc>
      </w:tr>
      <w:tr>
        <w:trPr>
          <w:cantSplit/>
        </w:trPr>
        <w:tc>
          <w:tcPr>
            <w:tcW w:type="dxa" w:w="27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{{product_name}}</w:t>
            </w:r>
          </w:p>
        </w:tc>
        <w:tc>
          <w:tcPr>
            <w:tcW w:type="dxa" w:w="66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Named product in a general acknowledgement</w:t>
            </w:r>
          </w:p>
        </w:tc>
      </w:tr>
      <w:tr>
        <w:trPr>
          <w:cantSplit/>
        </w:trPr>
        <w:tc>
          <w:tcPr>
            <w:tcW w:type="dxa" w:w="27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{{order_reference}}</w:t>
            </w:r>
          </w:p>
        </w:tc>
        <w:tc>
          <w:tcPr>
            <w:tcW w:type="dxa" w:w="66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Minimum field for an approved order-record review</w:t>
            </w:r>
          </w:p>
        </w:tc>
      </w:tr>
      <w:tr>
        <w:trPr>
          <w:cantSplit/>
        </w:trPr>
        <w:tc>
          <w:tcPr>
            <w:tcW w:type="dxa" w:w="27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{{purchase_month}}</w:t>
            </w:r>
          </w:p>
        </w:tc>
        <w:tc>
          <w:tcPr>
            <w:tcW w:type="dxa" w:w="66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Minimum field paired with order reference</w:t>
            </w:r>
          </w:p>
        </w:tc>
      </w:tr>
      <w:tr>
        <w:trPr>
          <w:cantSplit/>
        </w:trPr>
        <w:tc>
          <w:tcPr>
            <w:tcW w:type="dxa" w:w="27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{{help_center_url}}</w:t>
            </w:r>
          </w:p>
        </w:tc>
        <w:tc>
          <w:tcPr>
            <w:tcW w:type="dxa" w:w="66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Approved current help-center link only</w:t>
            </w:r>
          </w:p>
        </w:tc>
      </w:tr>
    </w:tbl>
    <w:p>
      <w:pPr>
        <w:pStyle w:val="Heading2"/>
      </w:pPr>
      <w:r>
        <w:t>Hard guardrails</w:t>
      </w:r>
    </w:p>
    <w:p>
      <w:pPr>
        <w:pStyle w:val="BodyList"/>
        <w:numPr>
          <w:ilvl w:val="0"/>
          <w:numId w:val="10"/>
        </w:numPr>
      </w:pPr>
      <w:r>
        <w:rPr>
          <w:rFonts w:ascii="Calibri" w:hAnsi="Calibri"/>
          <w:color w:val="1F2937"/>
          <w:sz w:val="22"/>
        </w:rPr>
        <w:t>No live tickets, cases, accounts, orders, or personal data are included in this demo.</w:t>
      </w:r>
    </w:p>
    <w:p>
      <w:pPr>
        <w:pStyle w:val="BodyList"/>
        <w:numPr>
          <w:ilvl w:val="0"/>
          <w:numId w:val="10"/>
        </w:numPr>
      </w:pPr>
      <w:r>
        <w:rPr>
          <w:rFonts w:ascii="Calibri" w:hAnsi="Calibri"/>
          <w:color w:val="1F2937"/>
          <w:sz w:val="22"/>
        </w:rPr>
        <w:t>Do not request payment details, passwords, authentication codes, or unapproved personal information.</w:t>
      </w:r>
    </w:p>
    <w:p>
      <w:pPr>
        <w:pStyle w:val="BodyList"/>
        <w:numPr>
          <w:ilvl w:val="0"/>
          <w:numId w:val="10"/>
        </w:numPr>
      </w:pPr>
      <w:r>
        <w:rPr>
          <w:rFonts w:ascii="Calibri" w:hAnsi="Calibri"/>
          <w:color w:val="1F2937"/>
          <w:sz w:val="22"/>
        </w:rPr>
        <w:t>Do not invent policy, resolve source conflicts, promise remedies, or guarantee outcomes or response times.</w:t>
      </w:r>
    </w:p>
    <w:p>
      <w:pPr>
        <w:pStyle w:val="BodyList"/>
        <w:numPr>
          <w:ilvl w:val="0"/>
          <w:numId w:val="10"/>
        </w:numPr>
      </w:pPr>
      <w:r>
        <w:rPr>
          <w:rFonts w:ascii="Calibri" w:hAnsi="Calibri"/>
          <w:color w:val="1F2937"/>
          <w:sz w:val="22"/>
        </w:rPr>
        <w:t>Do not publish, post, automate, or connect this fictional proof pack to a live system.</w:t>
      </w:r>
    </w:p>
    <w:p>
      <w:pPr>
        <w:pStyle w:val="Callout"/>
        <w:keepNext w:val="0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b/>
          <w:color w:val="17324D"/>
          <w:sz w:val="19"/>
        </w:rPr>
        <w:t xml:space="preserve">SOURCE OF TRUTH: </w:t>
      </w:r>
      <w:r>
        <w:rPr>
          <w:rFonts w:ascii="Calibri" w:hAnsi="Calibri"/>
          <w:color w:val="1F2937"/>
          <w:sz w:val="19"/>
        </w:rPr>
        <w:t>support-macro-rescue-source.csv  |  48d559549a63f92c239df205a6b53170dba1a2896488192143e8a47c1a4189ed  |  23789 bytes</w:t>
      </w:r>
    </w:p>
    <w:p>
      <w:pPr>
        <w:spacing w:before="0" w:after="0"/>
      </w:pPr>
      <w:r>
        <w:br w:type="page"/>
      </w:r>
    </w:p>
    <w:p>
      <w:pPr>
        <w:pStyle w:val="Heading1"/>
      </w:pPr>
      <w:r>
        <w:t>Macro library</w:t>
      </w:r>
    </w:p>
    <w:p>
      <w:r>
        <w:rPr>
          <w:rFonts w:ascii="Calibri" w:hAnsi="Calibri"/>
          <w:color w:val="1F2937"/>
          <w:sz w:val="22"/>
        </w:rPr>
        <w:t>Twenty question-specific drafts and five controlled shared drafts. Every card includes trigger, ready-to-paste copy, declared placeholders, traceability, and a do-not-use boundary.</w:t>
      </w:r>
    </w:p>
    <w:p>
      <w:pPr>
        <w:pStyle w:val="Callout"/>
        <w:keepNext w:val="0"/>
        <w:keepLines/>
        <w:shd w:fill="FFF0D6"/>
        <w:pBdr>
          <w:left w:val="single" w:sz="18" w:space="8" w:color="D89A27"/>
        </w:pBdr>
      </w:pPr>
      <w:r>
        <w:rPr>
          <w:rFonts w:ascii="Calibri" w:hAnsi="Calibri"/>
          <w:b/>
          <w:color w:val="17324D"/>
          <w:sz w:val="19"/>
        </w:rPr>
        <w:t xml:space="preserve">COPY RULE: </w:t>
      </w:r>
      <w:r>
        <w:rPr>
          <w:rFonts w:ascii="Calibri" w:hAnsi="Calibri"/>
          <w:color w:val="1F2937"/>
          <w:sz w:val="19"/>
        </w:rPr>
        <w:t>Copy the response, replace only its declared placeholders, then confirm the listed policies still match the accepted source.</w:t>
      </w:r>
    </w:p>
    <w:p>
      <w:pPr>
        <w:pStyle w:val="Heading2"/>
        <w:keepNext/>
      </w:pPr>
      <w:r>
        <w:t>MAC-001 | In-stock processing timing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Question-specific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processing-timing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when a shopper asks when a confirmed in-stock item enters processing.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in-stock items enter processing within two business days. Business days are Monday through Friday, excluding carrier-observed holidays.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use when stock status is unknown or when the question is about carrier transit.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POL-001 | POL-002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None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Q-001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pStyle w:val="Heading2"/>
        <w:keepNext/>
      </w:pPr>
      <w:r>
        <w:t>MAC-002 | Tracking link timing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Question-specific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tracking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when a shopper asks when tracking becomes available.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a tracking link is sent after the carrier accepts the parcel.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use to interpret a live carrier event or promise when carrier acceptance will occur.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POL-003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None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Q-002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spacing w:before="0" w:after="0"/>
      </w:pPr>
      <w:r>
        <w:br w:type="page"/>
      </w:r>
    </w:p>
    <w:p>
      <w:pPr>
        <w:pStyle w:val="Heading2"/>
        <w:keepNext/>
      </w:pPr>
      <w:r>
        <w:t>MAC-003 | Domestic transit estimate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Question-specific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delivery-estimate | tracking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for the standard domestic transit estimate after carrier acceptance.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standard domestic transit is estimated at three to six business days after carrier acceptance. Business days are Monday through Friday, excluding carrier-observed holidays. This estimate is not a guarantee.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use for a live carrier anomaly, an international route, or a guaranteed arrival date.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POL-002 | POL-003 | POL-004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ESC-004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Q-003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pStyle w:val="Heading2"/>
        <w:keepNext/>
      </w:pPr>
      <w:r>
        <w:t>MAC-004 | Address-change review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Question-specific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order-changes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when a shopper asks to change a delivery address.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address-change requests are reviewed only before an order enters processing, and approval is not guaranteed. I am routing this request to the order operations lead for review without promising an outcome or response time.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use to confirm that an address was changed or to promise approval.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POL-005 | POL-025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ESC-001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Q-004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spacing w:before="0" w:after="0"/>
      </w:pPr>
      <w:r>
        <w:br w:type="page"/>
      </w:r>
    </w:p>
    <w:p>
      <w:pPr>
        <w:pStyle w:val="Heading2"/>
        <w:keepNext/>
      </w:pPr>
      <w:r>
        <w:t>MAC-005 | Cancellation review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Question-specific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cancellation-review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when a shopper asks whether an order can be cancelled.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cancellation requests are reviewed only before an order enters processing, and approval is not guaranteed. I am routing this request to the order operations lead for review without promising an outcome or response time.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use to confirm cancellation or promise approval, timing, or a remedy.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POL-006 | POL-025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ESC-001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Q-005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pStyle w:val="Heading2"/>
        <w:keepNext/>
      </w:pPr>
      <w:r>
        <w:t>MAC-006 | Combining separate orders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Question-specific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order-changes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when a shopper asks to combine separately placed orders.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separate orders cannot be combined after either order enters processing.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use to claim that unprocessed orders will be combined; the source states only the after-processing rule.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POL-007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None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Q-006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spacing w:before="0" w:after="0"/>
      </w:pPr>
      <w:r>
        <w:br w:type="page"/>
      </w:r>
    </w:p>
    <w:p>
      <w:pPr>
        <w:pStyle w:val="Heading2"/>
        <w:keepNext/>
      </w:pPr>
      <w:r>
        <w:t>MAC-007 | Standard return-review window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Question-specific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returns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when a shopper asks about the standard return-review window.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unused, unassembled items may be submitted for return review within 30 calendar days after delivery. Submission does not itself confirm eligibility.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use when the item has been used, assembled, marked final sale, or has uncertain eligibility.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POL-008 | POL-009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ESC-002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Q-007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pStyle w:val="Heading2"/>
        <w:keepNext/>
      </w:pPr>
      <w:r>
        <w:t>MAC-008 | Start a standard return review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Question-specific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returns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to request the minimum approved information for a standard return review.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unused, unassembled items may be submitted for return review within 30 calendar days after delivery, and authorization is required before mailing. Please share only the order reference {{order_reference}} and purchase month {{purchase_month}} so the record can be reviewed. Submission does not confirm eligibility.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request payment details, credentials, or unapproved personal information, and do not tell the shopper to mail the item before authorization.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 | {{order_reference}} | {{purchase_month}}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POL-008 | POL-009 | POL-024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ESC-002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Q-008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spacing w:before="0" w:after="0"/>
      </w:pPr>
      <w:r>
        <w:br w:type="page"/>
      </w:r>
    </w:p>
    <w:p>
      <w:pPr>
        <w:pStyle w:val="Heading2"/>
        <w:keepNext/>
      </w:pPr>
      <w:r>
        <w:t>MAC-009 | Approved standard return refund term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Question-specific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return-fees | returns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when a shopper asks whether original outbound shipping is included in an approved standard return refund.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for an approved standard return, the original outbound shipping charge is not included in the return refund.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use before standard return approval or to describe any other charge or remedy.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POL-008 | POL-010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ESC-002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Q-009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pStyle w:val="Heading2"/>
        <w:keepNext/>
      </w:pPr>
      <w:r>
        <w:t>MAC-010 | Final-sale return review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Question-specific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returns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when a shopper asks about standard return review for an item marked final sale.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items marked final sale are not eligible for standard return review. If the item's status is unclear, I will route the question to the returns lead without promising an outcome or response time.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invent exceptions or use when the final-sale status cannot be confirmed.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POL-011 | POL-025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ESC-002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Q-010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spacing w:before="0" w:after="0"/>
      </w:pPr>
      <w:r>
        <w:br w:type="page"/>
      </w:r>
    </w:p>
    <w:p>
      <w:pPr>
        <w:pStyle w:val="Heading2"/>
        <w:keepNext/>
      </w:pPr>
      <w:r>
        <w:t>MAC-011 | Damaged item handoff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Question-specific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damage-review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when a shopper reports that an item arrived damaged.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reports of damaged items require support-lead review before any remedy is discussed. Please share only the order reference {{order_reference}} and purchase month {{purchase_month}}. I am routing this for review without promising an outcome or response time.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promise replacement, refund, credit, timing, or any other remedy; do not request payment or credential data.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 | {{order_reference}} | {{purchase_month}}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POL-012 | POL-024 | POL-025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ESC-003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Q-011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pStyle w:val="Heading2"/>
        <w:keepNext/>
      </w:pPr>
      <w:r>
        <w:t>MAC-012 | Incorrect item handoff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Question-specific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damage-review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when a shopper reports that the received item differs from the item expected.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reports of incorrect items require support-lead review before any remedy is discussed. Please share only the order reference {{order_reference}} and purchase month {{purchase_month}}. I am routing this for review without promising an outcome or response time.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promise dispatch, replacement, refund, credit, timing, or any other remedy; do not request payment or credential data.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 | {{order_reference}} | {{purchase_month}}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POL-012 | POL-024 | POL-025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ESC-003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Q-012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spacing w:before="0" w:after="0"/>
      </w:pPr>
      <w:r>
        <w:br w:type="page"/>
      </w:r>
    </w:p>
    <w:p>
      <w:pPr>
        <w:pStyle w:val="Heading2"/>
        <w:keepNext/>
      </w:pPr>
      <w:r>
        <w:t>MAC-013 | Cable-tray included hardware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Question-specific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product-specs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for the sourced list of hardware included with the under-desk cable tray.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the under-desk cable tray includes two clamps, four bolts, and one hex key.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describe additional parts or use for a different product.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POL-013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None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Q-013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pStyle w:val="Heading2"/>
        <w:keepNext/>
      </w:pPr>
      <w:r>
        <w:t>MAC-014 | Cable-tray desk-edge fit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Question-specific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product-specs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for the published desk-edge fit range of the under-desk cable tray.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the under-desk cable tray has a published clamp-opening fit range of 0.5 to 2.5 inches. If the desk edge falls outside that range or its shape creates uncertainty, I will route the question to the product support lead without promising an outcome or response time.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claim universal fit or judge a fit case beyond the published thickness range.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POL-014 | POL-025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ESC-005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Q-014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spacing w:before="0" w:after="0"/>
      </w:pPr>
      <w:r>
        <w:br w:type="page"/>
      </w:r>
    </w:p>
    <w:p>
      <w:pPr>
        <w:pStyle w:val="Heading2"/>
        <w:keepNext/>
      </w:pPr>
      <w:r>
        <w:t>MAC-015 | Felt desk-mat material and care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Question-specific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product-specs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for the sourced material blend and care instructions for the felt desk mat.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the felt desk mat is made from 90 percent wool and 10 percent recycled polyester. Spot-clean it with cool water and air-dry it flat.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add cleaning products, machine-washing guidance, or other care claims.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POL-015 | POL-016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None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Q-015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pStyle w:val="Heading2"/>
        <w:keepNext/>
      </w:pPr>
      <w:r>
        <w:t>MAC-016 | Bamboo monitor-stand dimensions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Question-specific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product-specs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for the published dimensions of the bamboo monitor stand.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the bamboo monitor stand has published dimensions of 15 by 7.9 by 3.1 inches.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infer load capacity, device compatibility, or unlisted dimensions.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POL-017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None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Q-016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spacing w:before="0" w:after="0"/>
      </w:pPr>
      <w:r>
        <w:br w:type="page"/>
      </w:r>
    </w:p>
    <w:p>
      <w:pPr>
        <w:pStyle w:val="Heading2"/>
        <w:keepNext/>
      </w:pPr>
      <w:r>
        <w:t>MAC-017 | Restock information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Question-specific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availability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when a shopper asks when an unavailable item will return.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availability shown on the product page may change, and there is no restock date to share unless one is displayed there. If the page and accepted source conflict, I will route the question to the support lead without promising an outcome or response time.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estimate a restock date or imply that an unavailable item will return.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POL-018 | POL-025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ESC-008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Q-017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pStyle w:val="Heading2"/>
        <w:keepNext/>
      </w:pPr>
      <w:r>
        <w:t>MAC-018 | Low-stock label meaning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Question-specific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availability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when a shopper asks whether a low-stock label reserves an item.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a low-stock label reflects catalog status when the page loads and does not reserve an item.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promise availability or imply that inventory is held during browsing or checkout.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POL-019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None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Q-018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spacing w:before="0" w:after="0"/>
      </w:pPr>
      <w:r>
        <w:br w:type="page"/>
      </w:r>
    </w:p>
    <w:p>
      <w:pPr>
        <w:pStyle w:val="Heading2"/>
        <w:keepNext/>
      </w:pPr>
      <w:r>
        <w:t>MAC-019 | Promotion codes and price review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Question-specific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promotions-pricing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when a shopper asks to combine promotion codes or requests a price adjustment.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promotion codes cannot be combined. Price-adjustment requests require commerce-operations review, and no outcome is guaranteed. I am routing any adjustment request without promising an outcome or response time.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combine codes, promise a price change, or invent an exception.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POL-020 | POL-021 | POL-025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ESC-006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Q-019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pStyle w:val="Heading2"/>
        <w:keepNext/>
      </w:pPr>
      <w:r>
        <w:t>MAC-020 | Guest checkout and account access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Question-specific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account-access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for guest-checkout questions or account-access problems.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guest checkout is available, so an account is not required to place an order. Account-access issues require account-support review. Please do not send a password or authentication code; I am routing the access question without promising an outcome or response time.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request credentials, attempt account access, or promise access restoration or timing.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POL-022 | POL-023 | POL-025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ESC-007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Q-020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spacing w:before="0" w:after="0"/>
      </w:pPr>
      <w:r>
        <w:br w:type="page"/>
      </w:r>
    </w:p>
    <w:p>
      <w:pPr>
        <w:pStyle w:val="Heading2"/>
        <w:keepNext/>
      </w:pPr>
      <w:r>
        <w:t>MAC-021 | Shared acknowledgement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Shared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product-specs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as a first acknowledgement while checking only accepted support information.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thanks for reaching out about {{product_name}}. I am checking the accepted support information before I answer.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add a factual answer, outcome, remedy, or response-time promise until the accepted source supports it.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 | {{product_name}}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POL-025 | POL-026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None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Q-001 | Q-002 | Q-003 | Q-004 | Q-005 | Q-006 | Q-007 | Q-008 | Q-009 | Q-010 | Q-011 | Q-012 | Q-013 | Q-014 | Q-015 | Q-016 | Q-017 | Q-018 | Q-019 | Q-020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pStyle w:val="Heading2"/>
        <w:keepNext/>
      </w:pPr>
      <w:r>
        <w:t>MAC-022 | Shared minimum clarification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Shared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order-changes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when an order-record review needs only the approved minimum information.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to review this, please share only the order reference {{order_reference}} and purchase month {{purchase_month}}. Please do not send payment details, passwords, or authentication codes.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use when no record review is needed, and do not request any additional personal, payment, or credential data.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 | {{order_reference}} | {{purchase_month}}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POL-024 | POL-025 | POL-026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None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Q-004 | Q-005 | Q-008 | Q-011 | Q-012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spacing w:before="0" w:after="0"/>
      </w:pPr>
      <w:r>
        <w:br w:type="page"/>
      </w:r>
    </w:p>
    <w:p>
      <w:pPr>
        <w:pStyle w:val="Heading2"/>
        <w:keepNext/>
      </w:pPr>
      <w:r>
        <w:t>MAC-023 | Shared policy-gap handoff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Shared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availability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when accepted information is missing, conflicting, or incomplete.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the accepted support information does not resolve this question, so I am routing it to the support lead. I cannot promise the outcome or response time.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guess, reconcile conflicting sources, or add unsupported policy details.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POL-025 | POL-026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ESC-008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Q-001 | Q-002 | Q-003 | Q-004 | Q-005 | Q-006 | Q-007 | Q-008 | Q-009 | Q-010 | Q-011 | Q-012 | Q-013 | Q-014 | Q-015 | Q-016 | Q-017 | Q-018 | Q-019 | Q-020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pStyle w:val="Heading2"/>
        <w:keepNext/>
      </w:pPr>
      <w:r>
        <w:t>MAC-024 | Shared role-based escalation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Shared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order-changes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after selecting the matching escalation rule and owner role.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this question requires review by the named support role. I am routing it without promising an outcome or response time.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name an individual, promise a response time, or use before selecting the correct role and rule.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POL-025 | POL-026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ESC-008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Q-003 | Q-004 | Q-005 | Q-007 | Q-008 | Q-009 | Q-010 | Q-011 | Q-012 | Q-014 | Q-017 | Q-019 | Q-020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spacing w:before="0" w:after="0"/>
      </w:pPr>
      <w:r>
        <w:br w:type="page"/>
      </w:r>
    </w:p>
    <w:p>
      <w:pPr>
        <w:pStyle w:val="Heading2"/>
        <w:keepNext/>
      </w:pPr>
      <w:r>
        <w:t>MAC-025 | Shared current help-center link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800"/>
        <w:gridCol w:w="1800"/>
        <w:gridCol w:w="3960"/>
        <w:gridCol w:w="1800"/>
      </w:tblGrid>
      <w:tr>
        <w:trPr>
          <w:cantSplit/>
          <w:tblHeader w:val="true"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Type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Channels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Tags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Review</w:t>
            </w:r>
          </w:p>
        </w:tc>
      </w:tr>
      <w:tr>
        <w:trPr>
          <w:cantSplit/>
        </w:trPr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Shared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Email + chat</w:t>
            </w:r>
          </w:p>
        </w:tc>
        <w:tc>
          <w:tcPr>
            <w:tcW w:type="dxa" w:w="39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returns</w:t>
            </w:r>
          </w:p>
        </w:tc>
        <w:tc>
          <w:tcPr>
            <w:tcW w:type="dxa" w:w="18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APPROVED</w:t>
            </w:r>
          </w:p>
        </w:tc>
      </w:tr>
    </w:tbl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Trigger</w:t>
      </w:r>
    </w:p>
    <w:p>
      <w:pPr>
        <w:pStyle w:val="CompactBody"/>
        <w:keepNext/>
      </w:pPr>
      <w:r>
        <w:rPr>
          <w:rFonts w:ascii="Calibri" w:hAnsi="Calibri"/>
          <w:color w:val="1F2937"/>
          <w:sz w:val="19"/>
        </w:rPr>
        <w:t>Use only when the approved current help-center link has been confirmed.</w:t>
      </w:r>
    </w:p>
    <w:p>
      <w:pPr>
        <w:pStyle w:val="CardLabel"/>
        <w:keepNext/>
      </w:pPr>
      <w:r>
        <w:rPr>
          <w:rFonts w:ascii="Calibri" w:hAnsi="Calibri"/>
          <w:b/>
          <w:color w:val="1F6B68"/>
          <w:sz w:val="19"/>
        </w:rPr>
        <w:t>Ready-to-paste response</w:t>
      </w:r>
    </w:p>
    <w:p>
      <w:pPr>
        <w:pStyle w:val="Response"/>
        <w:keepLines/>
        <w:shd w:fill="E9F0F6"/>
        <w:pBdr>
          <w:left w:val="single" w:sz="18" w:space="8" w:color="1F6B68"/>
        </w:pBdr>
      </w:pPr>
      <w:r>
        <w:rPr>
          <w:rFonts w:ascii="Calibri" w:hAnsi="Calibri"/>
          <w:color w:val="1F2937"/>
          <w:sz w:val="18"/>
        </w:rPr>
        <w:t>Hi {{first_name}}, the approved current help-center information is available at {{help_center_url}}. If that page conflicts with the accepted support source, I will stop and route the question to the support lead. — The Juniper Row team</w:t>
      </w:r>
    </w:p>
    <w:p>
      <w:pPr>
        <w:pStyle w:val="CompactBody"/>
        <w:keepNext/>
      </w:pPr>
      <w:r>
        <w:rPr>
          <w:rFonts w:ascii="Calibri" w:hAnsi="Calibri"/>
          <w:b/>
          <w:color w:val="8A2D2A"/>
          <w:sz w:val="18"/>
        </w:rPr>
        <w:t xml:space="preserve">Do not use when: </w:t>
      </w:r>
      <w:r>
        <w:rPr>
          <w:rFonts w:ascii="Calibri" w:hAnsi="Calibri"/>
          <w:color w:val="1F2937"/>
          <w:sz w:val="18"/>
        </w:rPr>
        <w:t>Do not use an unapproved or unverified link, and do not resolve source conflicts independently.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440"/>
        <w:gridCol w:w="2300"/>
        <w:gridCol w:w="1840"/>
        <w:gridCol w:w="2780"/>
      </w:tblGrid>
      <w:tr>
        <w:trPr>
          <w:cantSplit/>
          <w:tblHeader w:val="true"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Placeholders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Source policies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Escalation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Linked questions</w:t>
            </w:r>
          </w:p>
        </w:tc>
      </w:tr>
      <w:tr>
        <w:trPr>
          <w:cantSplit/>
        </w:trPr>
        <w:tc>
          <w:tcPr>
            <w:tcW w:type="dxa" w:w="2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{{first_name}} | {{help_center_url}}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POL-025 | POL-027</w:t>
            </w:r>
          </w:p>
        </w:tc>
        <w:tc>
          <w:tcPr>
            <w:tcW w:type="dxa" w:w="18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ESC-008</w:t>
            </w:r>
          </w:p>
        </w:tc>
        <w:tc>
          <w:tcPr>
            <w:tcW w:type="dxa" w:w="27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Q-001 | Q-002 | Q-003 | Q-004 | Q-005 | Q-006 | Q-007 | Q-008 | Q-009 | Q-010 | Q-011 | Q-012 | Q-013 | Q-014 | Q-015 | Q-016 | Q-017 | Q-018 | Q-019 | Q-020</w:t>
            </w:r>
          </w:p>
        </w:tc>
      </w:tr>
    </w:tbl>
    <w:p>
      <w:pPr>
        <w:pStyle w:val="TableNote"/>
      </w:pPr>
      <w:r>
        <w:rPr>
          <w:rFonts w:ascii="Calibri" w:hAnsi="Calibri"/>
          <w:b/>
          <w:color w:val="24603B"/>
          <w:sz w:val="15"/>
        </w:rPr>
        <w:t>QA PASS - factual clauses mapped; placeholders declared; role-only escalation; boundary present.</w:t>
      </w:r>
    </w:p>
    <w:p>
      <w:pPr>
        <w:spacing w:before="0" w:after="0"/>
      </w:pPr>
      <w:r>
        <w:br w:type="page"/>
      </w:r>
    </w:p>
    <w:p>
      <w:pPr>
        <w:pStyle w:val="Heading1"/>
      </w:pPr>
      <w:r>
        <w:t>Issue tags</w:t>
      </w:r>
    </w:p>
    <w:p>
      <w:r>
        <w:rPr>
          <w:rFonts w:ascii="Calibri" w:hAnsi="Calibri"/>
          <w:color w:val="1F2937"/>
          <w:sz w:val="22"/>
        </w:rPr>
        <w:t>Use one to three controlled labels per interaction. Definitions are deliberately narrow so routing does not become policy-making.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200"/>
        <w:gridCol w:w="5260"/>
        <w:gridCol w:w="1900"/>
      </w:tblGrid>
      <w:tr>
        <w:trPr>
          <w:cantSplit/>
          <w:tblHeader w:val="true"/>
        </w:trPr>
        <w:tc>
          <w:tcPr>
            <w:tcW w:type="dxa" w:w="22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7"/>
                <w:lang w:val="en-US"/>
              </w:rPr>
              <w:t>Tag</w:t>
            </w:r>
          </w:p>
        </w:tc>
        <w:tc>
          <w:tcPr>
            <w:tcW w:type="dxa" w:w="52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7"/>
                <w:lang w:val="en-US"/>
              </w:rPr>
              <w:t>Definition</w:t>
            </w:r>
          </w:p>
        </w:tc>
        <w:tc>
          <w:tcPr>
            <w:tcW w:type="dxa" w:w="1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7"/>
                <w:lang w:val="en-US"/>
              </w:rPr>
              <w:t>Question IDs</w:t>
            </w:r>
          </w:p>
        </w:tc>
      </w:tr>
      <w:tr>
        <w:trPr>
          <w:cantSplit/>
        </w:trPr>
        <w:tc>
          <w:tcPr>
            <w:tcW w:type="dxa" w:w="22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processing-timing</w:t>
            </w:r>
          </w:p>
        </w:tc>
        <w:tc>
          <w:tcPr>
            <w:tcW w:type="dxa" w:w="52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Questions about when an in-stock item enters processing and how business days are counted.</w:t>
            </w:r>
          </w:p>
        </w:tc>
        <w:tc>
          <w:tcPr>
            <w:tcW w:type="dxa" w:w="1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Q-001</w:t>
            </w:r>
          </w:p>
        </w:tc>
      </w:tr>
      <w:tr>
        <w:trPr>
          <w:cantSplit/>
        </w:trPr>
        <w:tc>
          <w:tcPr>
            <w:tcW w:type="dxa" w:w="22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tracking</w:t>
            </w:r>
          </w:p>
        </w:tc>
        <w:tc>
          <w:tcPr>
            <w:tcW w:type="dxa" w:w="52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Questions about when a carrier tracking link becomes available.</w:t>
            </w:r>
          </w:p>
        </w:tc>
        <w:tc>
          <w:tcPr>
            <w:tcW w:type="dxa" w:w="1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Q-002</w:t>
            </w:r>
          </w:p>
        </w:tc>
      </w:tr>
      <w:tr>
        <w:trPr>
          <w:cantSplit/>
        </w:trPr>
        <w:tc>
          <w:tcPr>
            <w:tcW w:type="dxa" w:w="22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delivery-estimate</w:t>
            </w:r>
          </w:p>
        </w:tc>
        <w:tc>
          <w:tcPr>
            <w:tcW w:type="dxa" w:w="52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Questions about the sourced domestic transit estimate after carrier acceptance.</w:t>
            </w:r>
          </w:p>
        </w:tc>
        <w:tc>
          <w:tcPr>
            <w:tcW w:type="dxa" w:w="1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Q-003</w:t>
            </w:r>
          </w:p>
        </w:tc>
      </w:tr>
      <w:tr>
        <w:trPr>
          <w:cantSplit/>
        </w:trPr>
        <w:tc>
          <w:tcPr>
            <w:tcW w:type="dxa" w:w="22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order-changes</w:t>
            </w:r>
          </w:p>
        </w:tc>
        <w:tc>
          <w:tcPr>
            <w:tcW w:type="dxa" w:w="52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Address-change and order-combination questions governed by processing status.</w:t>
            </w:r>
          </w:p>
        </w:tc>
        <w:tc>
          <w:tcPr>
            <w:tcW w:type="dxa" w:w="1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Q-004 | Q-006</w:t>
            </w:r>
          </w:p>
        </w:tc>
      </w:tr>
      <w:tr>
        <w:trPr>
          <w:cantSplit/>
        </w:trPr>
        <w:tc>
          <w:tcPr>
            <w:tcW w:type="dxa" w:w="22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cancellation-review</w:t>
            </w:r>
          </w:p>
        </w:tc>
        <w:tc>
          <w:tcPr>
            <w:tcW w:type="dxa" w:w="52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Cancellation requests that may require an order-operations decision.</w:t>
            </w:r>
          </w:p>
        </w:tc>
        <w:tc>
          <w:tcPr>
            <w:tcW w:type="dxa" w:w="1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Q-005</w:t>
            </w:r>
          </w:p>
        </w:tc>
      </w:tr>
      <w:tr>
        <w:trPr>
          <w:cantSplit/>
        </w:trPr>
        <w:tc>
          <w:tcPr>
            <w:tcW w:type="dxa" w:w="22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returns</w:t>
            </w:r>
          </w:p>
        </w:tc>
        <w:tc>
          <w:tcPr>
            <w:tcW w:type="dxa" w:w="52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Questions about standard return-review eligibility, authorization, and final-sale status.</w:t>
            </w:r>
          </w:p>
        </w:tc>
        <w:tc>
          <w:tcPr>
            <w:tcW w:type="dxa" w:w="1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Q-007 | Q-008 | Q-010</w:t>
            </w:r>
          </w:p>
        </w:tc>
      </w:tr>
      <w:tr>
        <w:trPr>
          <w:cantSplit/>
        </w:trPr>
        <w:tc>
          <w:tcPr>
            <w:tcW w:type="dxa" w:w="22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return-fees</w:t>
            </w:r>
          </w:p>
        </w:tc>
        <w:tc>
          <w:tcPr>
            <w:tcW w:type="dxa" w:w="52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Questions about the sourced treatment of original outbound shipping charges.</w:t>
            </w:r>
          </w:p>
        </w:tc>
        <w:tc>
          <w:tcPr>
            <w:tcW w:type="dxa" w:w="1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Q-009</w:t>
            </w:r>
          </w:p>
        </w:tc>
      </w:tr>
      <w:tr>
        <w:trPr>
          <w:cantSplit/>
        </w:trPr>
        <w:tc>
          <w:tcPr>
            <w:tcW w:type="dxa" w:w="22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damage-review</w:t>
            </w:r>
          </w:p>
        </w:tc>
        <w:tc>
          <w:tcPr>
            <w:tcW w:type="dxa" w:w="52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Damaged or incorrect item reports that require support-lead review.</w:t>
            </w:r>
          </w:p>
        </w:tc>
        <w:tc>
          <w:tcPr>
            <w:tcW w:type="dxa" w:w="1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Q-011 | Q-012</w:t>
            </w:r>
          </w:p>
        </w:tc>
      </w:tr>
      <w:tr>
        <w:trPr>
          <w:cantSplit/>
        </w:trPr>
        <w:tc>
          <w:tcPr>
            <w:tcW w:type="dxa" w:w="22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product-specs</w:t>
            </w:r>
          </w:p>
        </w:tc>
        <w:tc>
          <w:tcPr>
            <w:tcW w:type="dxa" w:w="52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Questions answered by accepted product specifications or care instructions.</w:t>
            </w:r>
          </w:p>
        </w:tc>
        <w:tc>
          <w:tcPr>
            <w:tcW w:type="dxa" w:w="1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Q-013 | Q-014 | Q-015 | Q-016</w:t>
            </w:r>
          </w:p>
        </w:tc>
      </w:tr>
      <w:tr>
        <w:trPr>
          <w:cantSplit/>
        </w:trPr>
        <w:tc>
          <w:tcPr>
            <w:tcW w:type="dxa" w:w="22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availability</w:t>
            </w:r>
          </w:p>
        </w:tc>
        <w:tc>
          <w:tcPr>
            <w:tcW w:type="dxa" w:w="52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Questions about product-page availability, restock information, or low-stock labels.</w:t>
            </w:r>
          </w:p>
        </w:tc>
        <w:tc>
          <w:tcPr>
            <w:tcW w:type="dxa" w:w="1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Q-017 | Q-018</w:t>
            </w:r>
          </w:p>
        </w:tc>
      </w:tr>
      <w:tr>
        <w:trPr>
          <w:cantSplit/>
        </w:trPr>
        <w:tc>
          <w:tcPr>
            <w:tcW w:type="dxa" w:w="22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promotions-pricing</w:t>
            </w:r>
          </w:p>
        </w:tc>
        <w:tc>
          <w:tcPr>
            <w:tcW w:type="dxa" w:w="52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Questions about promotion-code combinations or price-adjustment review.</w:t>
            </w:r>
          </w:p>
        </w:tc>
        <w:tc>
          <w:tcPr>
            <w:tcW w:type="dxa" w:w="1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Q-019</w:t>
            </w:r>
          </w:p>
        </w:tc>
      </w:tr>
      <w:tr>
        <w:trPr>
          <w:cantSplit/>
        </w:trPr>
        <w:tc>
          <w:tcPr>
            <w:tcW w:type="dxa" w:w="22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account-access</w:t>
            </w:r>
          </w:p>
        </w:tc>
        <w:tc>
          <w:tcPr>
            <w:tcW w:type="dxa" w:w="52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Guest-checkout questions and account-access issues requiring safe handling.</w:t>
            </w:r>
          </w:p>
        </w:tc>
        <w:tc>
          <w:tcPr>
            <w:tcW w:type="dxa" w:w="1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7"/>
              </w:rPr>
              <w:t>Q-020</w:t>
            </w:r>
          </w:p>
        </w:tc>
      </w:tr>
    </w:tbl>
    <w:p>
      <w:pPr>
        <w:spacing w:before="0" w:after="0"/>
      </w:pPr>
      <w:r>
        <w:br w:type="page"/>
      </w:r>
    </w:p>
    <w:p>
      <w:pPr>
        <w:pStyle w:val="Heading1"/>
      </w:pPr>
      <w:r>
        <w:t>Escalation rules</w:t>
      </w:r>
    </w:p>
    <w:p>
      <w:pPr>
        <w:pStyle w:val="Callout"/>
        <w:keepNext w:val="0"/>
        <w:keepLines/>
        <w:shd w:fill="F7F2E8"/>
        <w:pBdr>
          <w:left w:val="single" w:sz="18" w:space="8" w:color="1F6B68"/>
        </w:pBdr>
      </w:pPr>
      <w:r>
        <w:rPr>
          <w:rFonts w:ascii="Calibri" w:hAnsi="Calibri"/>
          <w:b/>
          <w:color w:val="17324D"/>
          <w:sz w:val="19"/>
        </w:rPr>
        <w:t xml:space="preserve">HANDOFF STANDARD: </w:t>
      </w:r>
      <w:r>
        <w:rPr>
          <w:rFonts w:ascii="Calibri" w:hAnsi="Calibri"/>
          <w:color w:val="1F2937"/>
          <w:sz w:val="19"/>
        </w:rPr>
        <w:t>Route to a role, never a named individual. State why accepted information does not resolve the question; do not promise outcome or response time.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900"/>
        <w:gridCol w:w="2300"/>
        <w:gridCol w:w="1500"/>
        <w:gridCol w:w="3440"/>
        <w:gridCol w:w="1220"/>
      </w:tblGrid>
      <w:tr>
        <w:trPr>
          <w:cantSplit/>
          <w:tblHeader w:val="true"/>
        </w:trPr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ID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Trigger</w:t>
            </w:r>
          </w:p>
        </w:tc>
        <w:tc>
          <w:tcPr>
            <w:tcW w:type="dxa" w:w="15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Owner role</w:t>
            </w:r>
          </w:p>
        </w:tc>
        <w:tc>
          <w:tcPr>
            <w:tcW w:type="dxa" w:w="3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Customer handoff</w:t>
            </w:r>
          </w:p>
        </w:tc>
        <w:tc>
          <w:tcPr>
            <w:tcW w:type="dxa" w:w="12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Policies</w:t>
            </w:r>
          </w:p>
        </w:tc>
      </w:tr>
      <w:tr>
        <w:trPr>
          <w:cantSplit/>
        </w:trPr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ESC-001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An address-change or cancellation request may involve an order that has entered processing.</w:t>
            </w:r>
          </w:p>
        </w:tc>
        <w:tc>
          <w:tcPr>
            <w:tcW w:type="dxa" w:w="15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Order operations lead</w:t>
            </w:r>
          </w:p>
        </w:tc>
        <w:tc>
          <w:tcPr>
            <w:tcW w:type="dxa" w:w="3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I am routing this request to the order operations lead for review. I cannot promise the outcome or response time.</w:t>
            </w:r>
          </w:p>
        </w:tc>
        <w:tc>
          <w:tcPr>
            <w:tcW w:type="dxa" w:w="12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POL-005 | POL-006 | POL-025</w:t>
            </w:r>
          </w:p>
        </w:tc>
      </w:tr>
      <w:tr>
        <w:trPr>
          <w:cantSplit/>
        </w:trPr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ESC-002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Standard return, authorization, or final-sale eligibility cannot be confirmed from the accepted facts.</w:t>
            </w:r>
          </w:p>
        </w:tc>
        <w:tc>
          <w:tcPr>
            <w:tcW w:type="dxa" w:w="15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Returns lead</w:t>
            </w:r>
          </w:p>
        </w:tc>
        <w:tc>
          <w:tcPr>
            <w:tcW w:type="dxa" w:w="3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I am routing this eligibility question to the returns lead for review. I cannot promise the outcome or response time.</w:t>
            </w:r>
          </w:p>
        </w:tc>
        <w:tc>
          <w:tcPr>
            <w:tcW w:type="dxa" w:w="12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POL-008 | POL-009 | POL-010 | POL-011 | POL-025</w:t>
            </w:r>
          </w:p>
        </w:tc>
      </w:tr>
      <w:tr>
        <w:trPr>
          <w:cantSplit/>
        </w:trPr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ESC-003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An item is reported as damaged or incorrect and a remedy has not been approved.</w:t>
            </w:r>
          </w:p>
        </w:tc>
        <w:tc>
          <w:tcPr>
            <w:tcW w:type="dxa" w:w="15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Support lead</w:t>
            </w:r>
          </w:p>
        </w:tc>
        <w:tc>
          <w:tcPr>
            <w:tcW w:type="dxa" w:w="3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I am routing this item report to the support lead for review before any remedy is discussed. I cannot promise the outcome or response time.</w:t>
            </w:r>
          </w:p>
        </w:tc>
        <w:tc>
          <w:tcPr>
            <w:tcW w:type="dxa" w:w="12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POL-012 | POL-024 | POL-025</w:t>
            </w:r>
          </w:p>
        </w:tc>
      </w:tr>
      <w:tr>
        <w:trPr>
          <w:cantSplit/>
        </w:trPr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ESC-004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A tracking or carrier situation falls outside the published tracking and transit facts.</w:t>
            </w:r>
          </w:p>
        </w:tc>
        <w:tc>
          <w:tcPr>
            <w:tcW w:type="dxa" w:w="15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Fulfillment lead</w:t>
            </w:r>
          </w:p>
        </w:tc>
        <w:tc>
          <w:tcPr>
            <w:tcW w:type="dxa" w:w="3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I am routing this carrier question to the fulfillment lead because the accepted sources do not resolve it. I cannot promise the outcome or response time.</w:t>
            </w:r>
          </w:p>
        </w:tc>
        <w:tc>
          <w:tcPr>
            <w:tcW w:type="dxa" w:w="12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POL-003 | POL-004 | POL-025</w:t>
            </w:r>
          </w:p>
        </w:tc>
      </w:tr>
      <w:tr>
        <w:trPr>
          <w:cantSplit/>
        </w:trPr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ESC-005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A fit or use question goes beyond the published product specification.</w:t>
            </w:r>
          </w:p>
        </w:tc>
        <w:tc>
          <w:tcPr>
            <w:tcW w:type="dxa" w:w="15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Product support lead</w:t>
            </w:r>
          </w:p>
        </w:tc>
        <w:tc>
          <w:tcPr>
            <w:tcW w:type="dxa" w:w="3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I am routing this product-fit question to the product support lead because the published specification does not resolve it. I cannot promise the outcome or response time.</w:t>
            </w:r>
          </w:p>
        </w:tc>
        <w:tc>
          <w:tcPr>
            <w:tcW w:type="dxa" w:w="12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POL-013 | POL-014 | POL-025</w:t>
            </w:r>
          </w:p>
        </w:tc>
      </w:tr>
      <w:tr>
        <w:trPr>
          <w:cantSplit/>
        </w:trPr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ESC-006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A promotion or price-adjustment question asks for an exception or outcome not stated in the source.</w:t>
            </w:r>
          </w:p>
        </w:tc>
        <w:tc>
          <w:tcPr>
            <w:tcW w:type="dxa" w:w="15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Commerce operations lead</w:t>
            </w:r>
          </w:p>
        </w:tc>
        <w:tc>
          <w:tcPr>
            <w:tcW w:type="dxa" w:w="3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I am routing this pricing question to the commerce operations lead for review. I cannot promise the outcome or response time.</w:t>
            </w:r>
          </w:p>
        </w:tc>
        <w:tc>
          <w:tcPr>
            <w:tcW w:type="dxa" w:w="12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POL-020 | POL-021 | POL-025</w:t>
            </w:r>
          </w:p>
        </w:tc>
      </w:tr>
      <w:tr>
        <w:trPr>
          <w:cantSplit/>
        </w:trPr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ESC-007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An account-access issue or request for sensitive authentication information is present.</w:t>
            </w:r>
          </w:p>
        </w:tc>
        <w:tc>
          <w:tcPr>
            <w:tcW w:type="dxa" w:w="15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Account support lead</w:t>
            </w:r>
          </w:p>
        </w:tc>
        <w:tc>
          <w:tcPr>
            <w:tcW w:type="dxa" w:w="3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I am routing this account-access question to the account support lead. Please do not send a password or authentication code. I cannot promise the outcome or response time.</w:t>
            </w:r>
          </w:p>
        </w:tc>
        <w:tc>
          <w:tcPr>
            <w:tcW w:type="dxa" w:w="12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POL-023 | POL-024 | POL-025</w:t>
            </w:r>
          </w:p>
        </w:tc>
      </w:tr>
      <w:tr>
        <w:trPr>
          <w:cantSplit/>
        </w:trPr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ESC-008</w:t>
            </w:r>
          </w:p>
        </w:tc>
        <w:tc>
          <w:tcPr>
            <w:tcW w:type="dxa" w:w="2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An accepted source is missing, conflicts with another accepted source, or does not support the requested claim.</w:t>
            </w:r>
          </w:p>
        </w:tc>
        <w:tc>
          <w:tcPr>
            <w:tcW w:type="dxa" w:w="15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Support lead</w:t>
            </w:r>
          </w:p>
        </w:tc>
        <w:tc>
          <w:tcPr>
            <w:tcW w:type="dxa" w:w="34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I am routing this question to the support lead because the accepted information is missing, conflicting, or incomplete. I cannot promise the outcome or response time.</w:t>
            </w:r>
          </w:p>
        </w:tc>
        <w:tc>
          <w:tcPr>
            <w:tcW w:type="dxa" w:w="12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POL-025 | POL-027</w:t>
            </w:r>
          </w:p>
        </w:tc>
      </w:tr>
    </w:tbl>
    <w:p>
      <w:pPr>
        <w:spacing w:before="0" w:after="0"/>
      </w:pPr>
      <w:r>
        <w:br w:type="page"/>
      </w:r>
    </w:p>
    <w:p>
      <w:pPr>
        <w:pStyle w:val="Heading1"/>
      </w:pPr>
      <w:r>
        <w:t>FAQ draft</w:t>
      </w:r>
    </w:p>
    <w:p>
      <w:r>
        <w:rPr>
          <w:rFonts w:ascii="Calibri" w:hAnsi="Calibri"/>
          <w:color w:val="1F2937"/>
          <w:sz w:val="22"/>
        </w:rPr>
        <w:t>Twelve source-grounded entries for later editorial review. They remain fictional and unpublished.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000"/>
        <w:gridCol w:w="2640"/>
        <w:gridCol w:w="4380"/>
        <w:gridCol w:w="1340"/>
      </w:tblGrid>
      <w:tr>
        <w:trPr>
          <w:cantSplit/>
          <w:tblHeader w:val="true"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ID</w:t>
            </w:r>
          </w:p>
        </w:tc>
        <w:tc>
          <w:tcPr>
            <w:tcW w:type="dxa" w:w="26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Question</w:t>
            </w:r>
          </w:p>
        </w:tc>
        <w:tc>
          <w:tcPr>
            <w:tcW w:type="dxa" w:w="4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Ready-to-paste answer</w:t>
            </w:r>
          </w:p>
        </w:tc>
        <w:tc>
          <w:tcPr>
            <w:tcW w:type="dxa" w:w="1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6"/>
                <w:lang w:val="en-US"/>
              </w:rPr>
              <w:t>Policies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FAQ-001</w:t>
            </w:r>
          </w:p>
        </w:tc>
        <w:tc>
          <w:tcPr>
            <w:tcW w:type="dxa" w:w="26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When do in-stock items enter processing?</w:t>
            </w:r>
          </w:p>
        </w:tc>
        <w:tc>
          <w:tcPr>
            <w:tcW w:type="dxa" w:w="4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In-stock items enter processing within two business days. Business days are Monday through Friday, excluding carrier-observed holidays.</w:t>
            </w:r>
          </w:p>
        </w:tc>
        <w:tc>
          <w:tcPr>
            <w:tcW w:type="dxa" w:w="1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POL-001 | POL-002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FAQ-002</w:t>
            </w:r>
          </w:p>
        </w:tc>
        <w:tc>
          <w:tcPr>
            <w:tcW w:type="dxa" w:w="26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When is a tracking link sent?</w:t>
            </w:r>
          </w:p>
        </w:tc>
        <w:tc>
          <w:tcPr>
            <w:tcW w:type="dxa" w:w="4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 tracking link is sent after the carrier accepts the parcel.</w:t>
            </w:r>
          </w:p>
        </w:tc>
        <w:tc>
          <w:tcPr>
            <w:tcW w:type="dxa" w:w="1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POL-003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FAQ-003</w:t>
            </w:r>
          </w:p>
        </w:tc>
        <w:tc>
          <w:tcPr>
            <w:tcW w:type="dxa" w:w="26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What is the standard domestic transit estimate?</w:t>
            </w:r>
          </w:p>
        </w:tc>
        <w:tc>
          <w:tcPr>
            <w:tcW w:type="dxa" w:w="4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Standard domestic transit is estimated at three to six business days after carrier acceptance. This estimate is not a guarantee.</w:t>
            </w:r>
          </w:p>
        </w:tc>
        <w:tc>
          <w:tcPr>
            <w:tcW w:type="dxa" w:w="1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POL-004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FAQ-004</w:t>
            </w:r>
          </w:p>
        </w:tc>
        <w:tc>
          <w:tcPr>
            <w:tcW w:type="dxa" w:w="26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Can a delivery address or cancellation request be reviewed?</w:t>
            </w:r>
          </w:p>
        </w:tc>
        <w:tc>
          <w:tcPr>
            <w:tcW w:type="dxa" w:w="4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Address-change and cancellation requests are reviewed only before an order enters processing, and approval is not guaranteed.</w:t>
            </w:r>
          </w:p>
        </w:tc>
        <w:tc>
          <w:tcPr>
            <w:tcW w:type="dxa" w:w="1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POL-005 | POL-006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FAQ-005</w:t>
            </w:r>
          </w:p>
        </w:tc>
        <w:tc>
          <w:tcPr>
            <w:tcW w:type="dxa" w:w="26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Can separate orders be combined?</w:t>
            </w:r>
          </w:p>
        </w:tc>
        <w:tc>
          <w:tcPr>
            <w:tcW w:type="dxa" w:w="4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Separate orders cannot be combined after either order enters processing.</w:t>
            </w:r>
          </w:p>
        </w:tc>
        <w:tc>
          <w:tcPr>
            <w:tcW w:type="dxa" w:w="1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POL-007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FAQ-006</w:t>
            </w:r>
          </w:p>
        </w:tc>
        <w:tc>
          <w:tcPr>
            <w:tcW w:type="dxa" w:w="26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What is the standard return-review window?</w:t>
            </w:r>
          </w:p>
        </w:tc>
        <w:tc>
          <w:tcPr>
            <w:tcW w:type="dxa" w:w="4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Unused, unassembled items may be submitted for return review within 30 calendar days after delivery. Authorization is required before mailing, and submission does not confirm eligibility.</w:t>
            </w:r>
          </w:p>
        </w:tc>
        <w:tc>
          <w:tcPr>
            <w:tcW w:type="dxa" w:w="1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POL-008 | POL-009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FAQ-007</w:t>
            </w:r>
          </w:p>
        </w:tc>
        <w:tc>
          <w:tcPr>
            <w:tcW w:type="dxa" w:w="26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Is original outbound shipping included in an approved standard return refund?</w:t>
            </w:r>
          </w:p>
        </w:tc>
        <w:tc>
          <w:tcPr>
            <w:tcW w:type="dxa" w:w="4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For an approved standard return, the original outbound shipping charge is not included in the return refund.</w:t>
            </w:r>
          </w:p>
        </w:tc>
        <w:tc>
          <w:tcPr>
            <w:tcW w:type="dxa" w:w="1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POL-010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FAQ-008</w:t>
            </w:r>
          </w:p>
        </w:tc>
        <w:tc>
          <w:tcPr>
            <w:tcW w:type="dxa" w:w="26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Can an item marked final sale receive standard return review?</w:t>
            </w:r>
          </w:p>
        </w:tc>
        <w:tc>
          <w:tcPr>
            <w:tcW w:type="dxa" w:w="4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Items marked final sale are not eligible for standard return review.</w:t>
            </w:r>
          </w:p>
        </w:tc>
        <w:tc>
          <w:tcPr>
            <w:tcW w:type="dxa" w:w="1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POL-011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FAQ-009</w:t>
            </w:r>
          </w:p>
        </w:tc>
        <w:tc>
          <w:tcPr>
            <w:tcW w:type="dxa" w:w="26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What is included with the under-desk cable tray, and what desk-edge thickness fits?</w:t>
            </w:r>
          </w:p>
        </w:tc>
        <w:tc>
          <w:tcPr>
            <w:tcW w:type="dxa" w:w="4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The tray includes two clamps, four bolts, and one hex key. Its published clamp-opening fit range is 0.5 to 2.5 inches.</w:t>
            </w:r>
          </w:p>
        </w:tc>
        <w:tc>
          <w:tcPr>
            <w:tcW w:type="dxa" w:w="1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POL-013 | POL-014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FAQ-010</w:t>
            </w:r>
          </w:p>
        </w:tc>
        <w:tc>
          <w:tcPr>
            <w:tcW w:type="dxa" w:w="26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What is the felt desk mat made from, and how should it be cleaned?</w:t>
            </w:r>
          </w:p>
        </w:tc>
        <w:tc>
          <w:tcPr>
            <w:tcW w:type="dxa" w:w="4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The mat is 90 percent wool and 10 percent recycled polyester. Spot-clean with cool water and air-dry flat.</w:t>
            </w:r>
          </w:p>
        </w:tc>
        <w:tc>
          <w:tcPr>
            <w:tcW w:type="dxa" w:w="1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POL-015 | POL-016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FAQ-011</w:t>
            </w:r>
          </w:p>
        </w:tc>
        <w:tc>
          <w:tcPr>
            <w:tcW w:type="dxa" w:w="26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What are the bamboo monitor stand dimensions?</w:t>
            </w:r>
          </w:p>
        </w:tc>
        <w:tc>
          <w:tcPr>
            <w:tcW w:type="dxa" w:w="4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The published dimensions are 15 by 7.9 by 3.1 inches.</w:t>
            </w:r>
          </w:p>
        </w:tc>
        <w:tc>
          <w:tcPr>
            <w:tcW w:type="dxa" w:w="1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POL-017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FAQ-012</w:t>
            </w:r>
          </w:p>
        </w:tc>
        <w:tc>
          <w:tcPr>
            <w:tcW w:type="dxa" w:w="26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What do availability and low-stock labels mean?</w:t>
            </w:r>
          </w:p>
        </w:tc>
        <w:tc>
          <w:tcPr>
            <w:tcW w:type="dxa" w:w="4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Product-page availability may change, and a restock date is unavailable unless displayed there. A low-stock label reflects catalog status at page load and does not reserve an item.</w:t>
            </w:r>
          </w:p>
        </w:tc>
        <w:tc>
          <w:tcPr>
            <w:tcW w:type="dxa" w:w="1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6"/>
              </w:rPr>
              <w:t>POL-018 | POL-019</w:t>
            </w:r>
          </w:p>
        </w:tc>
      </w:tr>
    </w:tbl>
    <w:p>
      <w:pPr>
        <w:spacing w:before="0" w:after="0"/>
      </w:pPr>
      <w:r>
        <w:br w:type="page"/>
      </w:r>
    </w:p>
    <w:p>
      <w:pPr>
        <w:pStyle w:val="Heading1"/>
      </w:pPr>
      <w:r>
        <w:t>Source map</w:t>
      </w:r>
    </w:p>
    <w:p>
      <w:r>
        <w:rPr>
          <w:rFonts w:ascii="Calibri" w:hAnsi="Calibri"/>
          <w:color w:val="1F2937"/>
          <w:sz w:val="22"/>
        </w:rPr>
        <w:t>These 27 exact facts are the complete approved claim inventory for the fictional pack. Each locator points to the weak-source CSV field that carries the statement.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000"/>
        <w:gridCol w:w="1120"/>
        <w:gridCol w:w="4340"/>
        <w:gridCol w:w="900"/>
        <w:gridCol w:w="2000"/>
      </w:tblGrid>
      <w:tr>
        <w:trPr>
          <w:cantSplit/>
          <w:tblHeader w:val="true"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4"/>
                <w:lang w:val="en-US"/>
              </w:rPr>
              <w:t>Policy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4"/>
                <w:lang w:val="en-US"/>
              </w:rPr>
              <w:t>Topic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4"/>
                <w:lang w:val="en-US"/>
              </w:rPr>
              <w:t>Exact accepted statement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4"/>
                <w:lang w:val="en-US"/>
              </w:rPr>
              <w:t>Source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4"/>
                <w:lang w:val="en-US"/>
              </w:rPr>
              <w:t>Exact locator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POL-001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fulfillment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In-stock items enter processing within two business days.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2, policy_1_statement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POL-002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fulfillment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Business days are Monday through Friday, excluding carrier-observed holidays.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2, policy_2_statement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POL-003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shipping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A tracking link is sent after the carrier accepts the parcel.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3, policy_1_statement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POL-004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shipping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Standard domestic transit is estimated at three to six business days after carrier acceptance; the estimate is not a guarantee.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4, policy_2_statement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POL-005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fulfillment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Address-change requests are reviewed only before an order enters processing, and approval is not guaranteed.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5, policy_1_statement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POL-006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cancellation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Cancellation requests are reviewed only before an order enters processing, and approval is not guaranteed.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6, policy_1_statement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POL-007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fulfillment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Separate orders cannot be combined after either order enters processing.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7, policy_1_statement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POL-008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returns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Unused, unassembled items may be submitted for return review within 30 calendar days after delivery.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8, policy_1_statement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POL-009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returns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Return authorization is required before an item is mailed back; submitting a request does not confirm eligibility.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9, policy_2_statement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POL-010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refunds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For an approved standard return, the original outbound shipping charge is not included in the return refund.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10, policy_2_statement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POL-011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returns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Items marked final sale are not eligible for standard return review.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11, policy_1_statement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POL-012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returns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Reports of damaged or incorrect items require support-lead review before any remedy is discussed.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12, policy_1_statement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POL-013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product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The under-desk cable tray includes two clamps, four bolts, and one hex key.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14, policy_1_statement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POL-014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product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The under-desk cable tray has a published clamp-opening fit range of 0.5 to 2.5 inches.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15, policy_1_statement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POL-015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product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The felt desk mat is made from 90 percent wool and 10 percent recycled polyester.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16, policy_1_statement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POL-016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product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The felt desk mat should be spot-cleaned with cool water and air-dried flat.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16, policy_2_statement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POL-017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product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The bamboo monitor stand has published dimensions of 15 by 7.9 by 3.1 inches.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17, policy_1_statement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POL-018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availability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Availability shown on a product page may change, and no restock date is available unless one is displayed there.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18, policy_1_statement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POL-019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availability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A low-stock label reflects catalog status when the page loads and does not reserve an item.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19, policy_1_statement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POL-020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pricing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Promotion codes cannot be combined.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20, policy_1_statement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POL-021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pricing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Price-adjustment requests require commerce-operations review, and no outcome is guaranteed.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20, policy_2_statement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POL-022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account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Guest checkout is available; a customer account is not required to place an order.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21, policy_1_statement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POL-023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account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Account-access issues require account-support review, and agents never request passwords or authentication codes.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21, policy_2_statement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POL-024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privacy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For order-record review, support may request only an order reference and purchase month; agents must not request payment or credential data.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9, policy_3_statement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POL-025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communication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When a fact is missing, conflicting, or unsupported by an accepted source, the agent routes the question to the named role without promising an outcome or response time.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18, policy_3_statement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POL-026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communication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Approved customer-facing copy uses a warm, direct, practical tone and closes with 'The Juniper Row team'.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2, policy_3_statement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POL-027</w:t>
            </w:r>
          </w:p>
        </w:tc>
        <w:tc>
          <w:tcPr>
            <w:tcW w:type="dxa" w:w="112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communication</w:t>
            </w:r>
          </w:p>
        </w:tc>
        <w:tc>
          <w:tcPr>
            <w:tcW w:type="dxa" w:w="434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Agents may share the approved current help-center link; if link status or source guidance conflicts, they stop and route the question to the support lead.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SRC-001</w:t>
            </w:r>
          </w:p>
        </w:tc>
        <w:tc>
          <w:tcPr>
            <w:tcW w:type="dxa" w:w="2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4"/>
              </w:rPr>
              <w:t>support-macro-rescue-source.csv row 21, policy_4_statement</w:t>
            </w:r>
          </w:p>
        </w:tc>
      </w:tr>
    </w:tbl>
    <w:p>
      <w:pPr>
        <w:spacing w:before="0" w:after="0"/>
      </w:pPr>
      <w:r>
        <w:br w:type="page"/>
      </w:r>
    </w:p>
    <w:p>
      <w:pPr>
        <w:pStyle w:val="Heading1"/>
      </w:pPr>
      <w:r>
        <w:t>Change log</w:t>
      </w:r>
    </w:p>
    <w:p>
      <w:r>
        <w:rPr>
          <w:rFonts w:ascii="Calibri" w:hAnsi="Calibri"/>
          <w:color w:val="1F2937"/>
          <w:sz w:val="22"/>
        </w:rPr>
        <w:t>One controlled rewrite record per macro. Weak candidates are fictional, unpublished evidence of the issue corrected; they are never production copy.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1000"/>
        <w:gridCol w:w="900"/>
        <w:gridCol w:w="2330"/>
        <w:gridCol w:w="3750"/>
        <w:gridCol w:w="1380"/>
      </w:tblGrid>
      <w:tr>
        <w:trPr>
          <w:cantSplit/>
          <w:tblHeader w:val="true"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Change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Macro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Weak unpublished candidate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Why it changed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5"/>
                <w:lang w:val="en-US"/>
              </w:rPr>
              <w:t>Policies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CHG-001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MAC-001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It should ship soon.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Vague, merges processing with shipment, and omits the sourced business-day definition.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POL-001 | POL-002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CHG-002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MAC-002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Tracking appears right away.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Invents immediacy and ignores the carrier-acceptance condition.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POL-003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CHG-003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MAC-003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Delivery takes three days.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Turns a range into a guarantee and omits the start event and business-day definition.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POL-002 | POL-003 | POL-004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CHG-004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MAC-004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We can change the address for you.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Promises approval without confirming processing status.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POL-005 | POL-025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CHG-005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MAC-005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We will cancel it.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Promises an outcome that the accepted policy does not support.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POL-006 | POL-025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CHG-006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MAC-006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We can usually merge them.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Adds an unsupported exception and omits the processing condition.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POL-007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CHG-007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MAC-007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Returns are accepted within 30 days.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Treats review eligibility as automatic acceptance and omits condition requirements.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POL-008 | POL-009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CHG-008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MAC-008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Mail it back and we will process the return.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Skips required authorization, invents acceptance, and lacks the approved minimum-information request.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POL-008 | POL-009 | POL-024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CHG-009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MAC-009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All charges are refunded.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Contradicts the sourced refund term.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POL-008 | POL-010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CHG-010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MAC-010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Final-sale items can be returned as an exception.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Invents an exception; uncertainty must be routed.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POL-011 | POL-025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CHG-011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MAC-011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We will replace it immediately.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Promises a remedy and timing before required support-lead review.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POL-012 | POL-024 | POL-025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CHG-012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MAC-012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We will send the correct item today.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Promises a remedy and dispatch timing not present in the source.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POL-012 | POL-024 | POL-025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CHG-013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MAC-013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All mounting hardware is included.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Too broad; replaces the exact sourced component list with an undefined claim.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POL-013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CHG-014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MAC-014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It fits every desk.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Invents universal compatibility beyond the published range.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POL-014 | POL-025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CHG-015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MAC-015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It is wool felt and can be washed normally.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Omits the blend and contradicts the sourced care instructions.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POL-015 | POL-016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CHG-016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MAC-016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It is about 15 inches wide.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Drops two dimensions and weakens an exact published specification.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POL-017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CHG-017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MAC-017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It should be back next week.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Invents a date that is unavailable in the accepted source.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POL-018 | POL-025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CHG-018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MAC-018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Yes, the item is held while you browse.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Contradicts the sourced availability rule.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POL-019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CHG-019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MAC-019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We can stack codes and match the lower price.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Contradicts the code rule and promises an adjustment outcome.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POL-020 | POL-021 | POL-025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CHG-020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MAC-020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Create an account, then send your password so we can sign in.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Contradicts guest checkout and requests prohibited credentials.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POL-022 | POL-023 | POL-025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CHG-021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MAC-021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Thanks. We will fix this soon.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Acknowledgement now avoids unsupported resolution and timing claims.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POL-025 | POL-026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CHG-022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MAC-022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Send all account details so we can investigate.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Clarification now requests only the two source-approved record fields and warns against sensitive data.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POL-024 | POL-025 | POL-026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CHG-023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MAC-023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We are sure the policy allows it.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Policy gaps now route to a role instead of being guessed.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POL-025 | POL-026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CHG-024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MAC-024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A manager will resolve this within one hour.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Escalation language now avoids naming an individual or promising timing or outcome.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POL-025 | POL-026</w:t>
            </w:r>
          </w:p>
        </w:tc>
      </w:tr>
      <w:tr>
        <w:trPr>
          <w:cantSplit/>
        </w:trPr>
        <w:tc>
          <w:tcPr>
            <w:tcW w:type="dxa" w:w="10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CHG-025</w:t>
            </w:r>
          </w:p>
        </w:tc>
        <w:tc>
          <w:tcPr>
            <w:tcW w:type="dxa" w:w="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MAC-025</w:t>
            </w:r>
          </w:p>
        </w:tc>
        <w:tc>
          <w:tcPr>
            <w:tcW w:type="dxa" w:w="233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Use this link even if the source differs.</w:t>
            </w:r>
          </w:p>
        </w:tc>
        <w:tc>
          <w:tcPr>
            <w:tcW w:type="dxa" w:w="375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Link sharing is now conditional on current approval and routes conflicts instead of overriding them.</w:t>
            </w:r>
          </w:p>
        </w:tc>
        <w:tc>
          <w:tcPr>
            <w:tcW w:type="dxa" w:w="138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5"/>
              </w:rPr>
              <w:t>POL-025 | POL-027</w:t>
            </w:r>
          </w:p>
        </w:tc>
      </w:tr>
    </w:tbl>
    <w:p>
      <w:pPr>
        <w:spacing w:before="0" w:after="0"/>
      </w:pPr>
      <w:r>
        <w:br w:type="page"/>
      </w:r>
    </w:p>
    <w:p>
      <w:pPr>
        <w:pStyle w:val="Heading1"/>
      </w:pPr>
      <w:r>
        <w:t>Release QA</w:t>
      </w:r>
    </w:p>
    <w:p>
      <w:pPr>
        <w:pStyle w:val="Heading2"/>
      </w:pPr>
      <w:r>
        <w:t>Count and scope gates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6DEE3"/>
          <w:left w:val="single" w:sz="4" w:space="0" w:color="D6DEE3"/>
          <w:bottom w:val="single" w:sz="4" w:space="0" w:color="D6DEE3"/>
          <w:right w:val="single" w:sz="4" w:space="0" w:color="D6DEE3"/>
          <w:insideH w:val="single" w:sz="4" w:space="0" w:color="D6DEE3"/>
          <w:insideV w:val="single" w:sz="4" w:space="0" w:color="D6DEE3"/>
        </w:tblBorders>
      </w:tblPr>
      <w:tblGrid>
        <w:gridCol w:w="2900"/>
        <w:gridCol w:w="1300"/>
        <w:gridCol w:w="3560"/>
        <w:gridCol w:w="1600"/>
      </w:tblGrid>
      <w:tr>
        <w:trPr>
          <w:cantSplit/>
          <w:tblHeader w:val="true"/>
        </w:trPr>
        <w:tc>
          <w:tcPr>
            <w:tcW w:type="dxa" w:w="2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8"/>
                <w:lang w:val="en-US"/>
              </w:rPr>
              <w:t>Gate</w:t>
            </w:r>
          </w:p>
        </w:tc>
        <w:tc>
          <w:tcPr>
            <w:tcW w:type="dxa" w:w="1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8"/>
                <w:lang w:val="en-US"/>
              </w:rPr>
              <w:t>Actual</w:t>
            </w:r>
          </w:p>
        </w:tc>
        <w:tc>
          <w:tcPr>
            <w:tcW w:type="dxa" w:w="35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8"/>
                <w:lang w:val="en-US"/>
              </w:rPr>
              <w:t>Requirement</w:t>
            </w:r>
          </w:p>
        </w:tc>
        <w:tc>
          <w:tcPr>
            <w:tcW w:type="dxa" w:w="16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1F6B6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FFFFFF"/>
                <w:sz w:val="18"/>
                <w:lang w:val="en-US"/>
              </w:rPr>
              <w:t>Status</w:t>
            </w:r>
          </w:p>
        </w:tc>
      </w:tr>
      <w:tr>
        <w:trPr>
          <w:cantSplit/>
        </w:trPr>
        <w:tc>
          <w:tcPr>
            <w:tcW w:type="dxa" w:w="2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Recurring questions</w:t>
            </w:r>
          </w:p>
        </w:tc>
        <w:tc>
          <w:tcPr>
            <w:tcW w:type="dxa" w:w="1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20</w:t>
            </w:r>
          </w:p>
        </w:tc>
        <w:tc>
          <w:tcPr>
            <w:tcW w:type="dxa" w:w="35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20 maximum</w:t>
            </w:r>
          </w:p>
        </w:tc>
        <w:tc>
          <w:tcPr>
            <w:tcW w:type="dxa" w:w="16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4F3E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24603B"/>
                <w:sz w:val="18"/>
              </w:rPr>
              <w:t>PASS</w:t>
            </w:r>
          </w:p>
        </w:tc>
      </w:tr>
      <w:tr>
        <w:trPr>
          <w:cantSplit/>
        </w:trPr>
        <w:tc>
          <w:tcPr>
            <w:tcW w:type="dxa" w:w="2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Ready-to-paste macros</w:t>
            </w:r>
          </w:p>
        </w:tc>
        <w:tc>
          <w:tcPr>
            <w:tcW w:type="dxa" w:w="1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25</w:t>
            </w:r>
          </w:p>
        </w:tc>
        <w:tc>
          <w:tcPr>
            <w:tcW w:type="dxa" w:w="35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25 maximum</w:t>
            </w:r>
          </w:p>
        </w:tc>
        <w:tc>
          <w:tcPr>
            <w:tcW w:type="dxa" w:w="16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4F3E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24603B"/>
                <w:sz w:val="18"/>
              </w:rPr>
              <w:t>PASS</w:t>
            </w:r>
          </w:p>
        </w:tc>
      </w:tr>
      <w:tr>
        <w:trPr>
          <w:cantSplit/>
        </w:trPr>
        <w:tc>
          <w:tcPr>
            <w:tcW w:type="dxa" w:w="2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Issue tags</w:t>
            </w:r>
          </w:p>
        </w:tc>
        <w:tc>
          <w:tcPr>
            <w:tcW w:type="dxa" w:w="1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12</w:t>
            </w:r>
          </w:p>
        </w:tc>
        <w:tc>
          <w:tcPr>
            <w:tcW w:type="dxa" w:w="35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12 maximum</w:t>
            </w:r>
          </w:p>
        </w:tc>
        <w:tc>
          <w:tcPr>
            <w:tcW w:type="dxa" w:w="16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4F3E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24603B"/>
                <w:sz w:val="18"/>
              </w:rPr>
              <w:t>PASS</w:t>
            </w:r>
          </w:p>
        </w:tc>
      </w:tr>
      <w:tr>
        <w:trPr>
          <w:cantSplit/>
        </w:trPr>
        <w:tc>
          <w:tcPr>
            <w:tcW w:type="dxa" w:w="2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Escalation rules</w:t>
            </w:r>
          </w:p>
        </w:tc>
        <w:tc>
          <w:tcPr>
            <w:tcW w:type="dxa" w:w="1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8</w:t>
            </w:r>
          </w:p>
        </w:tc>
        <w:tc>
          <w:tcPr>
            <w:tcW w:type="dxa" w:w="35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8 maximum</w:t>
            </w:r>
          </w:p>
        </w:tc>
        <w:tc>
          <w:tcPr>
            <w:tcW w:type="dxa" w:w="16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4F3E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24603B"/>
                <w:sz w:val="18"/>
              </w:rPr>
              <w:t>PASS</w:t>
            </w:r>
          </w:p>
        </w:tc>
      </w:tr>
      <w:tr>
        <w:trPr>
          <w:cantSplit/>
        </w:trPr>
        <w:tc>
          <w:tcPr>
            <w:tcW w:type="dxa" w:w="2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FAQ entries</w:t>
            </w:r>
          </w:p>
        </w:tc>
        <w:tc>
          <w:tcPr>
            <w:tcW w:type="dxa" w:w="1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12</w:t>
            </w:r>
          </w:p>
        </w:tc>
        <w:tc>
          <w:tcPr>
            <w:tcW w:type="dxa" w:w="35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12 maximum</w:t>
            </w:r>
          </w:p>
        </w:tc>
        <w:tc>
          <w:tcPr>
            <w:tcW w:type="dxa" w:w="16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4F3E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24603B"/>
                <w:sz w:val="18"/>
              </w:rPr>
              <w:t>PASS</w:t>
            </w:r>
          </w:p>
        </w:tc>
      </w:tr>
      <w:tr>
        <w:trPr>
          <w:cantSplit/>
        </w:trPr>
        <w:tc>
          <w:tcPr>
            <w:tcW w:type="dxa" w:w="2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Source-policy facts</w:t>
            </w:r>
          </w:p>
        </w:tc>
        <w:tc>
          <w:tcPr>
            <w:tcW w:type="dxa" w:w="1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27</w:t>
            </w:r>
          </w:p>
        </w:tc>
        <w:tc>
          <w:tcPr>
            <w:tcW w:type="dxa" w:w="35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7F3F0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All have exact locators</w:t>
            </w:r>
          </w:p>
        </w:tc>
        <w:tc>
          <w:tcPr>
            <w:tcW w:type="dxa" w:w="16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4F3E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24603B"/>
                <w:sz w:val="18"/>
              </w:rPr>
              <w:t>PASS</w:t>
            </w:r>
          </w:p>
        </w:tc>
      </w:tr>
      <w:tr>
        <w:trPr>
          <w:cantSplit/>
        </w:trPr>
        <w:tc>
          <w:tcPr>
            <w:tcW w:type="dxa" w:w="29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Change records</w:t>
            </w:r>
          </w:p>
        </w:tc>
        <w:tc>
          <w:tcPr>
            <w:tcW w:type="dxa" w:w="13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25</w:t>
            </w:r>
          </w:p>
        </w:tc>
        <w:tc>
          <w:tcPr>
            <w:tcW w:type="dxa" w:w="356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color w:val="1F2937"/>
                <w:sz w:val="18"/>
              </w:rPr>
              <w:t>One per macro</w:t>
            </w:r>
          </w:p>
        </w:tc>
        <w:tc>
          <w:tcPr>
            <w:tcW w:type="dxa" w:w="1600"/>
            <w:tcMar>
              <w:top w:w="72" w:type="dxa"/>
              <w:bottom w:w="72" w:type="dxa"/>
              <w:start w:w="110" w:type="dxa"/>
              <w:end w:w="110" w:type="dxa"/>
            </w:tcMar>
            <w:vAlign w:val="center"/>
            <w:shd w:fill="E4F3E8"/>
          </w:tcPr>
          <w:p>
            <w:pPr>
              <w:spacing w:before="0" w:after="0" w:line="252" w:lineRule="auto"/>
            </w:pPr>
            <w:r>
              <w:rPr>
                <w:rFonts w:ascii="Calibri" w:hAnsi="Calibri"/>
                <w:b/>
                <w:color w:val="24603B"/>
                <w:sz w:val="18"/>
              </w:rPr>
              <w:t>PASS</w:t>
            </w:r>
          </w:p>
        </w:tc>
      </w:tr>
    </w:tbl>
    <w:p>
      <w:pPr>
        <w:pStyle w:val="Heading2"/>
      </w:pPr>
      <w:r>
        <w:t>Manual release checklist</w:t>
      </w:r>
    </w:p>
    <w:p>
      <w:pPr>
        <w:pStyle w:val="BodyList"/>
        <w:numPr>
          <w:ilvl w:val="0"/>
          <w:numId w:val="10"/>
        </w:numPr>
      </w:pPr>
      <w:r>
        <w:rPr>
          <w:rFonts w:ascii="Calibri" w:hAnsi="Calibri"/>
          <w:color w:val="1F2937"/>
          <w:sz w:val="22"/>
        </w:rPr>
        <w:t>All customer-facing factual clauses map to listed accepted policy IDs.</w:t>
      </w:r>
    </w:p>
    <w:p>
      <w:pPr>
        <w:pStyle w:val="BodyList"/>
        <w:numPr>
          <w:ilvl w:val="0"/>
          <w:numId w:val="10"/>
        </w:numPr>
      </w:pPr>
      <w:r>
        <w:rPr>
          <w:rFonts w:ascii="Calibri" w:hAnsi="Calibri"/>
          <w:color w:val="1F2937"/>
          <w:sz w:val="22"/>
        </w:rPr>
        <w:t>All macro placeholders are approved, declared, and present in the corresponding response.</w:t>
      </w:r>
    </w:p>
    <w:p>
      <w:pPr>
        <w:pStyle w:val="BodyList"/>
        <w:numPr>
          <w:ilvl w:val="0"/>
          <w:numId w:val="10"/>
        </w:numPr>
      </w:pPr>
      <w:r>
        <w:rPr>
          <w:rFonts w:ascii="Calibri" w:hAnsi="Calibri"/>
          <w:color w:val="1F2937"/>
          <w:sz w:val="22"/>
        </w:rPr>
        <w:t>All escalations route to a role and avoid personal data, outcomes, remedies, exceptions, and response-time promises.</w:t>
      </w:r>
    </w:p>
    <w:p>
      <w:pPr>
        <w:pStyle w:val="BodyList"/>
        <w:numPr>
          <w:ilvl w:val="0"/>
          <w:numId w:val="10"/>
        </w:numPr>
      </w:pPr>
      <w:r>
        <w:rPr>
          <w:rFonts w:ascii="Calibri" w:hAnsi="Calibri"/>
          <w:color w:val="1F2937"/>
          <w:sz w:val="22"/>
        </w:rPr>
        <w:t>FAQ answers preserve exact policy meaning and remain marked as fictional unpublished drafts.</w:t>
      </w:r>
    </w:p>
    <w:p>
      <w:pPr>
        <w:pStyle w:val="BodyList"/>
        <w:numPr>
          <w:ilvl w:val="0"/>
          <w:numId w:val="10"/>
        </w:numPr>
      </w:pPr>
      <w:r>
        <w:rPr>
          <w:rFonts w:ascii="Calibri" w:hAnsi="Calibri"/>
          <w:color w:val="1F2937"/>
          <w:sz w:val="22"/>
        </w:rPr>
        <w:t>Document uses semantic headings, real lists, repeating table headers, page numbers, and editable text.</w:t>
      </w:r>
    </w:p>
    <w:p>
      <w:pPr>
        <w:pStyle w:val="BodyList"/>
        <w:numPr>
          <w:ilvl w:val="0"/>
          <w:numId w:val="10"/>
        </w:numPr>
      </w:pPr>
      <w:r>
        <w:rPr>
          <w:rFonts w:ascii="Calibri" w:hAnsi="Calibri"/>
          <w:color w:val="1F2937"/>
          <w:sz w:val="22"/>
        </w:rPr>
        <w:t>No real customer, business, case, order, account, platform, or personal identifiers are present.</w:t>
      </w:r>
    </w:p>
    <w:p>
      <w:pPr>
        <w:pStyle w:val="Callout"/>
        <w:keepNext w:val="0"/>
        <w:keepLines/>
        <w:shd w:fill="FFF0D6"/>
        <w:pBdr>
          <w:left w:val="single" w:sz="18" w:space="8" w:color="D89A27"/>
        </w:pBdr>
      </w:pPr>
      <w:r>
        <w:rPr>
          <w:rFonts w:ascii="Calibri" w:hAnsi="Calibri"/>
          <w:b/>
          <w:color w:val="17324D"/>
          <w:sz w:val="19"/>
        </w:rPr>
        <w:t xml:space="preserve">FINAL STATUS: </w:t>
      </w:r>
      <w:r>
        <w:rPr>
          <w:rFonts w:ascii="Calibri" w:hAnsi="Calibri"/>
          <w:color w:val="1F2937"/>
          <w:sz w:val="19"/>
        </w:rPr>
        <w:t>FICTIONAL DEMO / RIGHTS-CLEARED / NOT FOR PUBLICATION. Production use requires replacing the fictional source pack with verified buyer-supplied sources and repeating the full traceability review.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C6B76"/>
        <w:sz w:val="17"/>
      </w:rPr>
      <w:t xml:space="preserve">Juniper Row Desk Goods  |  </w:t>
    </w:r>
    <w:r>
      <w:rPr>
        <w:rFonts w:ascii="Calibri" w:hAnsi="Calibri"/>
        <w:color w:val="5C6B76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5C6B76"/>
        <w:sz w:val="17"/>
      </w:rPr>
      <w:t xml:space="preserve"> of </w:t>
    </w:r>
    <w:r>
      <w:rPr>
        <w:rFonts w:ascii="Calibri" w:hAnsi="Calibri"/>
        <w:color w:val="5C6B76"/>
        <w:sz w:val="17"/>
      </w:rPr>
      <w:fldChar w:fldCharType="begin"/>
      <w:instrText xml:space="preserve">NUMPAGES</w:instrText>
      <w:fldChar w:fldCharType="separate"/>
      <w:t>25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5C6B76"/>
        <w:sz w:val="17"/>
      </w:rPr>
      <w:t>CUSTOMER SUPPORT MACRO RESCUE  |  FICTIONAL DEMO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multiLevelType w:val="singleLevel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70"/>
        <w:spacing w:after="80" w:line="300" w:lineRule="auto"/>
      </w:pPr>
      <w:rPr>
        <w:rFonts w:ascii="Symbol" w:hAnsi="Symbol"/>
      </w:rPr>
    </w:lvl>
  </w:abstract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270"/>
        <w:spacing w:after="80" w:line="300" w:lineRule="auto"/>
      </w:pPr>
      <w:rPr>
        <w:rFonts w:ascii="Calibri" w:hAnsi="Calibri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1F2937"/>
      <w:sz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7324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F6B6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7324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8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7324D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320" w:line="283" w:lineRule="auto"/>
    </w:pPr>
    <w:rPr>
      <w:rFonts w:asciiTheme="majorHAnsi" w:eastAsiaTheme="majorEastAsia" w:hAnsiTheme="majorHAnsi" w:cstheme="majorBidi" w:ascii="Calibri" w:hAnsi="Calibri"/>
      <w:b w:val="0"/>
      <w:i/>
      <w:iCs/>
      <w:color w:val="5C6B76"/>
      <w:spacing w:val="15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spacing w:before="40" w:after="160" w:line="240" w:lineRule="auto"/>
    </w:pPr>
    <w:rPr>
      <w:rFonts w:ascii="Calibri" w:hAnsi="Calibri"/>
      <w:b/>
      <w:color w:val="1F6B68"/>
      <w:sz w:val="18"/>
    </w:rPr>
  </w:style>
  <w:style w:type="paragraph" w:customStyle="1" w:styleId="BodyList">
    <w:name w:val="Body List"/>
    <w:pPr>
      <w:spacing w:before="0" w:after="80" w:line="300" w:lineRule="auto"/>
    </w:pPr>
    <w:rPr>
      <w:rFonts w:ascii="Calibri" w:hAnsi="Calibri"/>
      <w:b w:val="0"/>
      <w:color w:val="1F2937"/>
      <w:sz w:val="22"/>
    </w:rPr>
  </w:style>
  <w:style w:type="paragraph" w:customStyle="1" w:styleId="Callout">
    <w:name w:val="Callout"/>
    <w:pPr>
      <w:spacing w:before="100" w:after="140" w:line="269" w:lineRule="auto"/>
    </w:pPr>
    <w:rPr>
      <w:rFonts w:ascii="Calibri" w:hAnsi="Calibri"/>
      <w:b w:val="0"/>
      <w:color w:val="1F2937"/>
      <w:sz w:val="19"/>
    </w:rPr>
  </w:style>
  <w:style w:type="paragraph" w:customStyle="1" w:styleId="CompactBody">
    <w:name w:val="Compact Body"/>
    <w:pPr>
      <w:spacing w:before="0" w:after="80" w:line="269" w:lineRule="auto"/>
    </w:pPr>
    <w:rPr>
      <w:rFonts w:ascii="Calibri" w:hAnsi="Calibri"/>
      <w:b w:val="0"/>
      <w:color w:val="1F2937"/>
      <w:sz w:val="19"/>
    </w:rPr>
  </w:style>
  <w:style w:type="paragraph" w:customStyle="1" w:styleId="CardLabel">
    <w:name w:val="Card Label"/>
    <w:pPr>
      <w:spacing w:before="100" w:after="40" w:line="240" w:lineRule="auto"/>
    </w:pPr>
    <w:rPr>
      <w:rFonts w:ascii="Calibri" w:hAnsi="Calibri"/>
      <w:b/>
      <w:color w:val="1F6B68"/>
      <w:sz w:val="19"/>
    </w:rPr>
  </w:style>
  <w:style w:type="paragraph" w:customStyle="1" w:styleId="Response">
    <w:name w:val="Response"/>
    <w:pPr>
      <w:spacing w:before="40" w:after="100" w:line="269" w:lineRule="auto"/>
    </w:pPr>
    <w:rPr>
      <w:rFonts w:ascii="Calibri" w:hAnsi="Calibri"/>
      <w:b w:val="0"/>
      <w:color w:val="1F2937"/>
      <w:sz w:val="18"/>
    </w:rPr>
  </w:style>
  <w:style w:type="paragraph" w:customStyle="1" w:styleId="TableNote">
    <w:name w:val="Table Note"/>
    <w:pPr>
      <w:spacing w:before="40" w:after="100" w:line="240" w:lineRule="auto"/>
    </w:pPr>
    <w:rPr>
      <w:rFonts w:ascii="Calibri" w:hAnsi="Calibri"/>
      <w:b w:val="0"/>
      <w:color w:val="5C6B76"/>
      <w:sz w:val="1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?>
<Relationships xmlns="http://schemas.openxmlformats.org/package/2006/relationships"><Relationship Id="rId3" Type="http://schemas.openxmlformats.org/officeDocument/2006/relationships/styles" Target="styles.xml" /><Relationship Id="rId4" Type="http://schemas.microsoft.com/office/2007/relationships/stylesWithEffects" Target="stylesWithEffects.xml" /><Relationship Id="rId5" Type="http://schemas.openxmlformats.org/officeDocument/2006/relationships/settings" Target="settings.xml" /><Relationship Id="rId6" Type="http://schemas.openxmlformats.org/officeDocument/2006/relationships/webSettings" Target="webSettings.xml" /><Relationship Id="rId7" Type="http://schemas.openxmlformats.org/officeDocument/2006/relationships/fontTable" Target="fontTable.xml" /><Relationship Id="rId8" Type="http://schemas.openxmlformats.org/officeDocument/2006/relationships/theme" Target="theme/theme1.xml" /><Relationship Id="rId2" Type="http://schemas.openxmlformats.org/officeDocument/2006/relationships/numbering" Target="numbering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Customer Support Macro Rescue - Fictional Demo Handoff</dc:title>
  <dc:subject>Editable fictional customer-support macro proof bundle</dc:subject>
  <dc:creator/>
  <cp:keywords>fictional demo; customer support; macros; source traceability</cp:keywords>
  <dc:description>No real business, customer, case, order, account, platform, or personal data.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