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166"/>
      </w:tblGrid>
      <w:tr>
        <w:tc>
          <w:tcPr>
            <w:tcW w:type="dxa" w:w="10166"/>
            <w:shd w:fill="142D3B"/>
            <w:tcMar>
              <w:top w:w="260" w:type="dxa"/>
              <w:start w:w="260" w:type="dxa"/>
              <w:bottom w:w="260" w:type="dxa"/>
              <w:end w:w="260" w:type="dxa"/>
            </w:tcMar>
          </w:tcPr>
          <w:p>
            <w:pPr>
              <w:jc w:val="center"/>
            </w:pPr>
            <w:r>
              <w:rPr>
                <w:rFonts w:ascii="Aptos" w:hAnsi="Aptos"/>
                <w:b/>
                <w:color w:val="DDF1ED"/>
                <w:sz w:val="22"/>
              </w:rPr>
              <w:t>PODCAST EPISODE REPURPOSE RESCUE</w:t>
            </w:r>
          </w:p>
          <w:p>
            <w:pPr>
              <w:jc w:val="center"/>
            </w:pPr>
            <w:r>
              <w:rPr>
                <w:rFonts w:ascii="Aptos Display" w:hAnsi="Aptos Display"/>
                <w:b/>
                <w:color w:val="FFFFFF"/>
                <w:sz w:val="56"/>
              </w:rPr>
              <w:t>One episode.</w:t>
              <w:br/>
              <w:t>A complete, traceable content pack.</w:t>
            </w:r>
          </w:p>
          <w:p>
            <w:pPr>
              <w:jc w:val="center"/>
            </w:pPr>
            <w:r>
              <w:rPr>
                <w:rFonts w:ascii="Aptos" w:hAnsi="Aptos"/>
                <w:color w:val="FFFFFF"/>
                <w:sz w:val="26"/>
              </w:rPr>
              <w:t>Start With the Boundaries: A Calm System for a Monthly Repair Clinic</w:t>
            </w:r>
          </w:p>
        </w:tc>
        <w:trPr>
          <w:tblHeader/>
        </w:trPr>
      </w:tr>
    </w:tbl>
    <w:p>
      <w:pPr>
        <w:spacing w:after="100"/>
      </w:pPr>
    </w:p>
    <w:tbl>
      <w:tblPr>
        <w:tblW w:type="auto" w:w="0"/>
        <w:jc w:val="center"/>
        <w:tblLook w:firstColumn="1" w:firstRow="1" w:lastColumn="0" w:lastRow="0" w:noHBand="0" w:noVBand="1" w:val="04A0"/>
      </w:tblPr>
      <w:tblGrid>
        <w:gridCol w:w="3389"/>
        <w:gridCol w:w="3389"/>
        <w:gridCol w:w="3389"/>
      </w:tblGrid>
      <w:tr>
        <w:tc>
          <w:tcPr>
            <w:tcW w:type="dxa" w:w="3389"/>
            <w:shd w:fill="F7F2E8"/>
            <w:tcMar>
              <w:top w:w="150" w:type="dxa"/>
              <w:start w:w="120" w:type="dxa"/>
              <w:bottom w:w="150" w:type="dxa"/>
              <w:end w:w="120" w:type="dxa"/>
            </w:tcMar>
          </w:tcPr>
          <w:p>
            <w:pPr>
              <w:jc w:val="center"/>
            </w:pPr>
            <w:r>
              <w:rPr>
                <w:b/>
                <w:color w:val="142D3B"/>
                <w:sz w:val="36"/>
              </w:rPr>
              <w:t>24:30</w:t>
              <w:br/>
            </w:r>
            <w:r>
              <w:rPr>
                <w:b/>
                <w:color w:val="5D6A70"/>
                <w:sz w:val="14"/>
              </w:rPr>
              <w:t>SOURCE DURATION</w:t>
            </w:r>
          </w:p>
        </w:tc>
        <w:tc>
          <w:tcPr>
            <w:tcW w:type="dxa" w:w="3389"/>
            <w:shd w:fill="F7F2E8"/>
            <w:tcMar>
              <w:top w:w="150" w:type="dxa"/>
              <w:start w:w="120" w:type="dxa"/>
              <w:bottom w:w="150" w:type="dxa"/>
              <w:end w:w="120" w:type="dxa"/>
            </w:tcMar>
          </w:tcPr>
          <w:p>
            <w:pPr>
              <w:jc w:val="center"/>
            </w:pPr>
            <w:r>
              <w:rPr>
                <w:b/>
                <w:color w:val="142D3B"/>
                <w:sz w:val="36"/>
              </w:rPr>
              <w:t>24</w:t>
              <w:br/>
            </w:r>
            <w:r>
              <w:rPr>
                <w:b/>
                <w:color w:val="5D6A70"/>
                <w:sz w:val="14"/>
              </w:rPr>
              <w:t>TIMESTAMPED SEGMENTS</w:t>
            </w:r>
          </w:p>
        </w:tc>
        <w:tc>
          <w:tcPr>
            <w:tcW w:type="dxa" w:w="3389"/>
            <w:shd w:fill="F7F2E8"/>
            <w:tcMar>
              <w:top w:w="150" w:type="dxa"/>
              <w:start w:w="120" w:type="dxa"/>
              <w:bottom w:w="150" w:type="dxa"/>
              <w:end w:w="120" w:type="dxa"/>
            </w:tcMar>
          </w:tcPr>
          <w:p>
            <w:pPr>
              <w:jc w:val="center"/>
            </w:pPr>
            <w:r>
              <w:rPr>
                <w:b/>
                <w:color w:val="142D3B"/>
                <w:sz w:val="36"/>
              </w:rPr>
              <w:t>86</w:t>
              <w:br/>
            </w:r>
            <w:r>
              <w:rPr>
                <w:b/>
                <w:color w:val="5D6A70"/>
                <w:sz w:val="14"/>
              </w:rPr>
              <w:t>SOURCE MAPPINGS</w:t>
            </w:r>
          </w:p>
        </w:tc>
        <w:trPr>
          <w:tblHeader/>
        </w:trPr>
      </w:tr>
    </w:tbl>
    <w:p>
      <w:pPr>
        <w:spacing w:after="10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E99746"/>
                <w:sz w:val="22"/>
              </w:rPr>
              <w:t>FICTIONAL PORTFOLIO DEMONSTRATION</w:t>
            </w:r>
          </w:p>
          <w:p>
            <w:pPr>
              <w:pStyle w:val="BodyText"/>
              <w:spacing w:after="60"/>
            </w:pPr>
            <w:r>
              <w:t>Original fictional transcript created solely as a portfolio demonstration. No real recording, guest, organization, sponsor, customer, or event is represented. This fictional source is intended to demonstrate AI-assisted editorial repurposing with human review.</w:t>
            </w:r>
          </w:p>
        </w:tc>
        <w:trPr>
          <w:tblHeader/>
        </w:trPr>
      </w:tr>
    </w:tbl>
    <w:p>
      <w:pPr>
        <w:spacing w:after="20"/>
      </w:pPr>
    </w:p>
    <w:p>
      <w:pPr>
        <w:jc w:val="center"/>
      </w:pPr>
      <w:r>
        <w:rPr>
          <w:color w:val="5D6A70"/>
          <w:sz w:val="17"/>
        </w:rPr>
        <w:t>Prepared 17 August 2026  ·  Before Tomorrow Studio  ·  Editable handoff</w:t>
      </w: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01</w:t>
            </w:r>
          </w:p>
        </w:tc>
        <w:tc>
          <w:tcPr>
            <w:tcW w:type="dxa" w:w="5083"/>
            <w:shd w:fill="142D3B"/>
            <w:tcMar>
              <w:top w:w="100" w:type="dxa"/>
              <w:start w:w="170" w:type="dxa"/>
              <w:bottom w:w="100" w:type="dxa"/>
              <w:end w:w="170" w:type="dxa"/>
            </w:tcMar>
          </w:tcPr>
          <w:p>
            <w:r>
              <w:rPr>
                <w:b/>
                <w:color w:val="FFFFFF"/>
                <w:sz w:val="20"/>
              </w:rPr>
              <w:t>EDITORIAL BRIEF</w:t>
            </w:r>
            <w:r>
              <w:rPr>
                <w:i/>
                <w:color w:val="DDF1ED"/>
                <w:sz w:val="17"/>
              </w:rPr>
              <w:t xml:space="preserve">  ·  purpose, audience, guardrails</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Episode</w:t>
            </w:r>
          </w:p>
          <w:p>
            <w:pPr>
              <w:pStyle w:val="BodyText"/>
              <w:spacing w:after="60"/>
            </w:pPr>
            <w:r>
              <w:t>One Saturday, Many Second Chances  ·  Small Systems, Human Scale  ·  24:30</w:t>
            </w:r>
          </w:p>
        </w:tc>
        <w:trPr>
          <w:tblHeader/>
        </w:trPr>
      </w:tr>
    </w:tbl>
    <w:p>
      <w:pPr>
        <w:spacing w:after="20"/>
      </w:pPr>
    </w:p>
    <w:tbl>
      <w:tblPr>
        <w:tblW w:type="auto" w:w="0"/>
        <w:jc w:val="left"/>
        <w:tblLayout w:type="fixed"/>
        <w:tblLook w:firstColumn="1" w:firstRow="1" w:lastColumn="0" w:lastRow="0" w:noHBand="0" w:noVBand="1" w:val="04A0"/>
      </w:tblPr>
      <w:tblGrid>
        <w:gridCol w:w="1800"/>
        <w:gridCol w:w="8136"/>
      </w:tblGrid>
      <w:tr>
        <w:trPr>
          <w:tblHeader w:val="true"/>
        </w:trPr>
        <w:tc>
          <w:tcPr>
            <w:tcW w:type="dxa" w:w="5083"/>
            <w:shd w:fill="142D3B"/>
          </w:tcPr>
          <w:p>
            <w:r>
              <w:rPr>
                <w:b/>
                <w:color w:val="FFFFFF"/>
                <w:sz w:val="16"/>
              </w:rPr>
              <w:t>FIELD</w:t>
            </w:r>
          </w:p>
        </w:tc>
        <w:tc>
          <w:tcPr>
            <w:tcW w:type="dxa" w:w="5083"/>
            <w:shd w:fill="142D3B"/>
          </w:tcPr>
          <w:p>
            <w:r>
              <w:rPr>
                <w:b/>
                <w:color w:val="FFFFFF"/>
                <w:sz w:val="16"/>
              </w:rPr>
              <w:t>VERIFIED BRIEF</w:t>
            </w:r>
          </w:p>
        </w:tc>
      </w:tr>
      <w:tr>
        <w:tc>
          <w:tcPr>
            <w:tcW w:type="dxa" w:w="1800"/>
            <w:shd w:fill="DDF1ED"/>
            <w:tcMar>
              <w:top w:w="120" w:type="dxa"/>
              <w:start w:w="140" w:type="dxa"/>
              <w:bottom w:w="120" w:type="dxa"/>
              <w:end w:w="140" w:type="dxa"/>
            </w:tcMar>
            <w:vAlign w:val="center"/>
          </w:tcPr>
          <w:p>
            <w:pPr>
              <w:spacing w:after="0"/>
            </w:pPr>
            <w:r>
              <w:rPr>
                <w:b/>
                <w:color w:val="148F8B"/>
                <w:sz w:val="17"/>
              </w:rPr>
              <w:t>Purpose</w:t>
            </w:r>
          </w:p>
        </w:tc>
        <w:tc>
          <w:tcPr>
            <w:tcW w:type="dxa" w:w="8136"/>
            <w:tcMar>
              <w:top w:w="120" w:type="dxa"/>
              <w:start w:w="140" w:type="dxa"/>
              <w:bottom w:w="120" w:type="dxa"/>
              <w:end w:w="140" w:type="dxa"/>
            </w:tcMar>
            <w:vAlign w:val="center"/>
          </w:tcPr>
          <w:p>
            <w:pPr>
              <w:spacing w:after="0"/>
            </w:pPr>
            <w:r>
              <w:rPr>
                <w:sz w:val="17"/>
              </w:rPr>
              <w:t>Show community organizers how a small repair-clinic team can plan a calm, repeatable monthly event without implying professional repair certification or guaranteed outcomes.</w:t>
            </w:r>
          </w:p>
        </w:tc>
      </w:tr>
      <w:tr>
        <w:tc>
          <w:tcPr>
            <w:tcW w:type="dxa" w:w="1800"/>
            <w:shd w:fill="DDF1ED"/>
            <w:tcMar>
              <w:top w:w="120" w:type="dxa"/>
              <w:start w:w="140" w:type="dxa"/>
              <w:bottom w:w="120" w:type="dxa"/>
              <w:end w:w="140" w:type="dxa"/>
            </w:tcMar>
            <w:vAlign w:val="center"/>
          </w:tcPr>
          <w:p>
            <w:pPr>
              <w:spacing w:after="0"/>
            </w:pPr>
            <w:r>
              <w:rPr>
                <w:b/>
                <w:color w:val="148F8B"/>
                <w:sz w:val="17"/>
              </w:rPr>
              <w:t>Audience</w:t>
            </w:r>
          </w:p>
        </w:tc>
        <w:tc>
          <w:tcPr>
            <w:tcW w:type="dxa" w:w="8136"/>
            <w:tcMar>
              <w:top w:w="120" w:type="dxa"/>
              <w:start w:w="140" w:type="dxa"/>
              <w:bottom w:w="120" w:type="dxa"/>
              <w:end w:w="140" w:type="dxa"/>
            </w:tcMar>
            <w:vAlign w:val="center"/>
          </w:tcPr>
          <w:p>
            <w:pPr>
              <w:spacing w:after="0"/>
            </w:pPr>
            <w:r>
              <w:rPr>
                <w:sz w:val="17"/>
              </w:rPr>
              <w:t>Volunteer coordinators, neighborhood organizers, library program leads, and small community groups</w:t>
            </w:r>
          </w:p>
        </w:tc>
      </w:tr>
      <w:tr>
        <w:tc>
          <w:tcPr>
            <w:tcW w:type="dxa" w:w="1800"/>
            <w:shd w:fill="DDF1ED"/>
            <w:tcMar>
              <w:top w:w="120" w:type="dxa"/>
              <w:start w:w="140" w:type="dxa"/>
              <w:bottom w:w="120" w:type="dxa"/>
              <w:end w:w="140" w:type="dxa"/>
            </w:tcMar>
            <w:vAlign w:val="center"/>
          </w:tcPr>
          <w:p>
            <w:pPr>
              <w:spacing w:after="0"/>
            </w:pPr>
            <w:r>
              <w:rPr>
                <w:b/>
                <w:color w:val="148F8B"/>
                <w:sz w:val="17"/>
              </w:rPr>
              <w:t>Tone</w:t>
            </w:r>
          </w:p>
        </w:tc>
        <w:tc>
          <w:tcPr>
            <w:tcW w:type="dxa" w:w="8136"/>
            <w:tcMar>
              <w:top w:w="120" w:type="dxa"/>
              <w:start w:w="140" w:type="dxa"/>
              <w:bottom w:w="120" w:type="dxa"/>
              <w:end w:w="140" w:type="dxa"/>
            </w:tcMar>
            <w:vAlign w:val="center"/>
          </w:tcPr>
          <w:p>
            <w:pPr>
              <w:spacing w:after="0"/>
            </w:pPr>
            <w:r>
              <w:rPr>
                <w:sz w:val="17"/>
              </w:rPr>
              <w:t>Warm, specific, practical, calm, and non-promotional</w:t>
            </w:r>
          </w:p>
        </w:tc>
      </w:tr>
      <w:tr>
        <w:tc>
          <w:tcPr>
            <w:tcW w:type="dxa" w:w="1800"/>
            <w:shd w:fill="DDF1ED"/>
            <w:tcMar>
              <w:top w:w="120" w:type="dxa"/>
              <w:start w:w="140" w:type="dxa"/>
              <w:bottom w:w="120" w:type="dxa"/>
              <w:end w:w="140" w:type="dxa"/>
            </w:tcMar>
            <w:vAlign w:val="center"/>
          </w:tcPr>
          <w:p>
            <w:pPr>
              <w:spacing w:after="0"/>
            </w:pPr>
            <w:r>
              <w:rPr>
                <w:b/>
                <w:color w:val="148F8B"/>
                <w:sz w:val="17"/>
              </w:rPr>
              <w:t>Destination</w:t>
            </w:r>
          </w:p>
        </w:tc>
        <w:tc>
          <w:tcPr>
            <w:tcW w:type="dxa" w:w="8136"/>
            <w:tcMar>
              <w:top w:w="120" w:type="dxa"/>
              <w:start w:w="140" w:type="dxa"/>
              <w:bottom w:w="120" w:type="dxa"/>
              <w:end w:w="140" w:type="dxa"/>
            </w:tcMar>
            <w:vAlign w:val="center"/>
          </w:tcPr>
          <w:p>
            <w:pPr>
              <w:spacing w:after="0"/>
            </w:pPr>
            <w:r>
              <w:rPr>
                <w:sz w:val="17"/>
              </w:rPr>
              <w:t>Fictional public podcast feed, email newsletter, and ordinary platform-neutral social channels</w:t>
            </w:r>
          </w:p>
        </w:tc>
      </w:tr>
      <w:tr>
        <w:tc>
          <w:tcPr>
            <w:tcW w:type="dxa" w:w="1800"/>
            <w:shd w:fill="DDF1ED"/>
            <w:tcMar>
              <w:top w:w="120" w:type="dxa"/>
              <w:start w:w="140" w:type="dxa"/>
              <w:bottom w:w="120" w:type="dxa"/>
              <w:end w:w="140" w:type="dxa"/>
            </w:tcMar>
            <w:vAlign w:val="center"/>
          </w:tcPr>
          <w:p>
            <w:pPr>
              <w:spacing w:after="0"/>
            </w:pPr>
            <w:r>
              <w:rPr>
                <w:b/>
                <w:color w:val="148F8B"/>
                <w:sz w:val="17"/>
              </w:rPr>
              <w:t>Primary CTA</w:t>
            </w:r>
          </w:p>
        </w:tc>
        <w:tc>
          <w:tcPr>
            <w:tcW w:type="dxa" w:w="8136"/>
            <w:tcMar>
              <w:top w:w="120" w:type="dxa"/>
              <w:start w:w="140" w:type="dxa"/>
              <w:bottom w:w="120" w:type="dxa"/>
              <w:end w:w="140" w:type="dxa"/>
            </w:tcMar>
            <w:vAlign w:val="center"/>
          </w:tcPr>
          <w:p>
            <w:pPr>
              <w:spacing w:after="0"/>
            </w:pPr>
            <w:r>
              <w:rPr>
                <w:sz w:val="17"/>
              </w:rPr>
              <w:t>Download the fictional one-page event worksheet at https://example.com/juniper-repair-worksheet</w:t>
            </w:r>
          </w:p>
        </w:tc>
      </w:tr>
    </w:tbl>
    <w:p/>
    <w:p>
      <w:pPr>
        <w:pStyle w:val="Heading2"/>
        <w:keepNext/>
      </w:pPr>
      <w:r>
        <w:t>Guardrails carried into every draft</w:t>
      </w:r>
    </w:p>
    <w:p>
      <w:pPr>
        <w:pStyle w:val="ListBullet"/>
        <w:spacing w:after="60"/>
      </w:pPr>
      <w:r>
        <w:t>guaranteed repair outcomes</w:t>
      </w:r>
    </w:p>
    <w:p>
      <w:pPr>
        <w:pStyle w:val="ListBullet"/>
        <w:spacing w:after="60"/>
      </w:pPr>
      <w:r>
        <w:t>electrical or battery repair instructions</w:t>
      </w:r>
    </w:p>
    <w:p>
      <w:pPr>
        <w:pStyle w:val="ListBullet"/>
        <w:spacing w:after="60"/>
      </w:pPr>
      <w:r>
        <w:t>claims of professional certification</w:t>
      </w:r>
    </w:p>
    <w:p>
      <w:pPr>
        <w:pStyle w:val="ListBullet"/>
        <w:spacing w:after="60"/>
      </w:pPr>
      <w:r>
        <w:t>environmental impact metrics not supplied in the source</w:t>
      </w: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E99746"/>
                <w:sz w:val="22"/>
              </w:rPr>
              <w:t>Disclosure</w:t>
            </w:r>
          </w:p>
          <w:p>
            <w:pPr>
              <w:pStyle w:val="BodyText"/>
              <w:spacing w:after="60"/>
            </w:pPr>
            <w:r>
              <w:t>This fictional episode has no sponsor, affiliate link, or paid placement.</w:t>
            </w:r>
          </w:p>
          <w:p>
            <w:pPr>
              <w:spacing w:after="0"/>
            </w:pPr>
            <w:r>
              <w:rPr>
                <w:b/>
                <w:color w:val="148F8B"/>
                <w:sz w:val="15"/>
              </w:rPr>
              <w:t>Sources: VF-05, TS-02</w:t>
            </w:r>
          </w:p>
        </w:tc>
        <w:trPr>
          <w:tblHeader/>
        </w:trPr>
      </w:tr>
    </w:tbl>
    <w:p>
      <w:pPr>
        <w:spacing w:after="20"/>
      </w:pP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02</w:t>
            </w:r>
          </w:p>
        </w:tc>
        <w:tc>
          <w:tcPr>
            <w:tcW w:type="dxa" w:w="5083"/>
            <w:shd w:fill="142D3B"/>
            <w:tcMar>
              <w:top w:w="100" w:type="dxa"/>
              <w:start w:w="170" w:type="dxa"/>
              <w:bottom w:w="100" w:type="dxa"/>
              <w:end w:w="170" w:type="dxa"/>
            </w:tcMar>
          </w:tcPr>
          <w:p>
            <w:r>
              <w:rPr>
                <w:b/>
                <w:color w:val="FFFFFF"/>
                <w:sz w:val="20"/>
              </w:rPr>
              <w:t>TITLE OPTIONS + SUMMARY</w:t>
            </w:r>
            <w:r>
              <w:rPr>
                <w:i/>
                <w:color w:val="DDF1ED"/>
                <w:sz w:val="17"/>
              </w:rPr>
              <w:t xml:space="preserve">  ·  five non-clickbait routes</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TTL-01</w:t>
            </w:r>
          </w:p>
          <w:p>
            <w:pPr>
              <w:pStyle w:val="BodyText"/>
              <w:spacing w:after="60"/>
            </w:pPr>
            <w:r>
              <w:t>Start With the Boundaries: A Calm System for a Monthly Repair Clinic</w:t>
            </w:r>
          </w:p>
          <w:p>
            <w:pPr>
              <w:spacing w:after="0"/>
            </w:pPr>
            <w:r>
              <w:rPr>
                <w:b/>
                <w:color w:val="148F8B"/>
                <w:sz w:val="15"/>
              </w:rPr>
              <w:t>Sources: TS-03, TS-09, TS-23</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TTL-02</w:t>
            </w:r>
          </w:p>
          <w:p>
            <w:pPr>
              <w:pStyle w:val="BodyText"/>
              <w:spacing w:after="60"/>
            </w:pPr>
            <w:r>
              <w:t>The Card Moves First: Designing a Repair Event Without Mystery Piles</w:t>
            </w:r>
          </w:p>
          <w:p>
            <w:pPr>
              <w:spacing w:after="0"/>
            </w:pPr>
            <w:r>
              <w:rPr>
                <w:b/>
                <w:color w:val="148F8B"/>
                <w:sz w:val="15"/>
              </w:rPr>
              <w:t>Sources: TS-03, TS-05, TS-06</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TTL-03</w:t>
            </w:r>
          </w:p>
          <w:p>
            <w:pPr>
              <w:pStyle w:val="BodyText"/>
              <w:spacing w:after="60"/>
            </w:pPr>
            <w:r>
              <w:t>One Saturday, Many Second Chances: Inside a Volunteer Repair Circle</w:t>
            </w:r>
          </w:p>
          <w:p>
            <w:pPr>
              <w:spacing w:after="0"/>
            </w:pPr>
            <w:r>
              <w:rPr>
                <w:b/>
                <w:color w:val="148F8B"/>
                <w:sz w:val="15"/>
              </w:rPr>
              <w:t>Sources: TS-01, VF-03, VF-06</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TTL-04</w:t>
            </w:r>
          </w:p>
          <w:p>
            <w:pPr>
              <w:pStyle w:val="BodyText"/>
              <w:spacing w:after="60"/>
            </w:pPr>
            <w:r>
              <w:t>Green, Yellow, Red: How One Community Clinic Makes Scope Visible</w:t>
            </w:r>
          </w:p>
          <w:p>
            <w:pPr>
              <w:spacing w:after="0"/>
            </w:pPr>
            <w:r>
              <w:rPr>
                <w:b/>
                <w:color w:val="148F8B"/>
                <w:sz w:val="15"/>
              </w:rPr>
              <w:t>Sources: TS-05, TS-09</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TTL-05</w:t>
            </w:r>
          </w:p>
          <w:p>
            <w:pPr>
              <w:pStyle w:val="BodyText"/>
              <w:spacing w:after="60"/>
            </w:pPr>
            <w:r>
              <w:t>A Better Repair Day Begins at the Welcome Desk</w:t>
            </w:r>
          </w:p>
          <w:p>
            <w:pPr>
              <w:spacing w:after="0"/>
            </w:pPr>
            <w:r>
              <w:rPr>
                <w:b/>
                <w:color w:val="148F8B"/>
                <w:sz w:val="15"/>
              </w:rPr>
              <w:t>Sources: TS-03, TS-15</w:t>
            </w:r>
          </w:p>
        </w:tc>
        <w:trPr>
          <w:tblHeader/>
        </w:trPr>
      </w:tr>
    </w:tbl>
    <w:p>
      <w:pPr>
        <w:spacing w:after="20"/>
      </w:pPr>
    </w:p>
    <w:p>
      <w:pPr>
        <w:pStyle w:val="Heading2"/>
        <w:keepNext/>
      </w:pPr>
      <w:r>
        <w:t>Episode summary</w:t>
      </w:r>
    </w:p>
    <w:p>
      <w:pPr>
        <w:pStyle w:val="BodyText"/>
        <w:spacing w:after="140" w:line="259" w:lineRule="auto"/>
        <w:keepLines/>
      </w:pPr>
      <w:r>
        <w:t>Fictional volunteer coordinator Samir Patel explains how Juniper Street Repair Circle plans a steady monthly clinic by making expectations visible. The system begins with a plain-language intake card, a three-tray scope queue, named event roles, and stop rules every volunteer can use. Samir also describes accessible waiting, photo consent, tool sign-out, a four-question close, and why the group reports only what it can observe. The central lesson is practical: define what the event is, what it is not, and when anyone may stop before choosing the tools.</w:t>
      </w:r>
    </w:p>
    <w:p>
      <w:pPr>
        <w:spacing w:after="120"/>
        <w:keepLines/>
      </w:pPr>
      <w:r>
        <w:rPr>
          <w:rFonts w:ascii="Aptos" w:hAnsi="Aptos"/>
          <w:b/>
          <w:color w:val="148F8B"/>
          <w:sz w:val="16"/>
        </w:rPr>
        <w:t>Sources: TS-03, TS-05, TS-09, TS-11, TS-13, TS-15, TS-17, TS-19, TS-21, TS-23</w:t>
      </w: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03</w:t>
            </w:r>
          </w:p>
        </w:tc>
        <w:tc>
          <w:tcPr>
            <w:tcW w:type="dxa" w:w="5083"/>
            <w:shd w:fill="142D3B"/>
            <w:tcMar>
              <w:top w:w="100" w:type="dxa"/>
              <w:start w:w="170" w:type="dxa"/>
              <w:bottom w:w="100" w:type="dxa"/>
              <w:end w:w="170" w:type="dxa"/>
            </w:tcMar>
          </w:tcPr>
          <w:p>
            <w:r>
              <w:rPr>
                <w:b/>
                <w:color w:val="FFFFFF"/>
                <w:sz w:val="20"/>
              </w:rPr>
              <w:t>SHOW NOTES</w:t>
            </w:r>
            <w:r>
              <w:rPr>
                <w:i/>
                <w:color w:val="DDF1ED"/>
                <w:sz w:val="17"/>
              </w:rPr>
              <w:t xml:space="preserve">  ·  491 words</w:t>
            </w:r>
          </w:p>
        </w:tc>
        <w:trPr>
          <w:tblHeader/>
        </w:trPr>
      </w:tr>
    </w:tbl>
    <w:p>
      <w:pPr>
        <w:spacing w:after="20"/>
      </w:pPr>
    </w:p>
    <w:p>
      <w:pPr>
        <w:pStyle w:val="BodyText"/>
        <w:spacing w:after="160" w:line="259" w:lineRule="auto"/>
        <w:keepLines/>
      </w:pPr>
      <w:r>
        <w:t>A calm community event often begins before anyone opens a toolbox. In this clearly fictional demonstration episode of Small Systems, Human Scale, host Nora Bell talks with Samir Patel, the fictional volunteer coordinator at Juniper Street Repair Circle. Their subject is not repair technique. It is the operating system around a monthly clinic: how a small volunteer team sets expectations, makes scope visible, protects a visitor's control of their property, and closes the room without leaving a trail of unidentified tasks.</w:t>
      </w:r>
    </w:p>
    <w:p>
      <w:pPr>
        <w:pStyle w:val="BodyText"/>
        <w:spacing w:after="160" w:line="259" w:lineRule="auto"/>
        <w:keepLines/>
      </w:pPr>
      <w:r>
        <w:t>Samir begins with the welcome desk. A visitor describes the object and what they have noticed on a short intake card. A volunteer reads the description back, explains that no fix is guaranteed, and makes clear that either person may stop. The card—not the object—then enters one of three trays. Green means an available volunteer has chosen the relevant ordinary skill area and the item is in scope. Yellow means a conversation or missing tool must be resolved. Red means the clinic will not work on the item that day. The reason is recorded as an event decision, never as a universal diagnosis.</w:t>
      </w:r>
    </w:p>
    <w:p>
      <w:pPr>
        <w:pStyle w:val="BodyText"/>
        <w:spacing w:after="160" w:line="259" w:lineRule="auto"/>
        <w:keepLines/>
      </w:pPr>
      <w:r>
        <w:t>Safety boundaries are equally direct. The fictional clinic declines mains-voltage appliances, fuel systems, swollen batteries, and anything a volunteer considers unsafe. It also stops when opening an item could expose personal data, create a sanitation concern, or worsen the condition. Samir describes a short opening huddle where the team reads those rules aloud and reminds everyone that a stop does not require a debate. Roles are scheduled before specialties: welcome lead, queue guide, supplies steward, and closing lead come first.</w:t>
      </w:r>
    </w:p>
    <w:p>
      <w:pPr>
        <w:pStyle w:val="BodyText"/>
        <w:spacing w:after="160" w:line="259" w:lineRule="auto"/>
        <w:keepLines/>
      </w:pPr>
      <w:r>
        <w:t>The conversation also covers the parts of an event that are easy to overlook. Shared tools have a visible sign-out sheet. Chairs, a quiet waiting corner, large-print intake cards, and step-free access support different visitors. The queue guide uses a first name only with permission or a simple card number. Active tables are not photographed by default, and any optional event photo is taken in a separate area away from intake cards and personal objects. Saying no to a photo does not change a visitor's place or experience.</w:t>
      </w:r>
    </w:p>
    <w:p>
      <w:pPr>
        <w:pStyle w:val="BodyText"/>
        <w:spacing w:after="160" w:line="259" w:lineRule="auto"/>
        <w:keepLines/>
      </w:pPr>
      <w:r>
        <w:t>At closing, the team asks four questions: are visitors and objects accounted for, are shared tools back, which broad supply category is low, and what one content-free process note would improve next month? The group does not convert a few intake cards into dramatic impact claims. It reports only what it can observe and keeps its promise modest: neighbors know when to come, what to bring, what not to bring, and what kind of conversation to expect. Samir's starting advice is simple—write the boundaries and stop rules before the tool list.</w:t>
      </w:r>
    </w:p>
    <w:p>
      <w:pPr>
        <w:pStyle w:val="BodyText"/>
        <w:spacing w:after="160" w:line="259" w:lineRule="auto"/>
        <w:keepLines/>
      </w:pPr>
      <w:r>
        <w:t>Download the fictional one-page planning worksheet at https://example.com/juniper-repair-worksheet. This demonstration is not repair, safety, insurance, or legal advice. Adapt every boundary for the real venue, volunteers, insurance, equipment, and local requirements. This fictional episode has no sponsor, affiliate link, or paid placement.</w:t>
      </w:r>
    </w:p>
    <w:p>
      <w:pPr>
        <w:spacing w:after="120"/>
        <w:keepLines/>
      </w:pPr>
      <w:r>
        <w:rPr>
          <w:rFonts w:ascii="Aptos" w:hAnsi="Aptos"/>
          <w:b/>
          <w:color w:val="148F8B"/>
          <w:sz w:val="16"/>
        </w:rPr>
        <w:t>Sources: TS-01, TS-03, TS-05, TS-07, TS-09, TS-11, TS-13, TS-15, TS-17, TS-19, TS-21, TS-23, TS-24, VF-05</w:t>
      </w: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04</w:t>
            </w:r>
          </w:p>
        </w:tc>
        <w:tc>
          <w:tcPr>
            <w:tcW w:type="dxa" w:w="5083"/>
            <w:shd w:fill="142D3B"/>
            <w:tcMar>
              <w:top w:w="100" w:type="dxa"/>
              <w:start w:w="170" w:type="dxa"/>
              <w:bottom w:w="100" w:type="dxa"/>
              <w:end w:w="170" w:type="dxa"/>
            </w:tcMar>
          </w:tcPr>
          <w:p>
            <w:r>
              <w:rPr>
                <w:b/>
                <w:color w:val="FFFFFF"/>
                <w:sz w:val="20"/>
              </w:rPr>
              <w:t>TIMESTAMPED CHAPTERS</w:t>
            </w:r>
            <w:r>
              <w:rPr>
                <w:i/>
                <w:color w:val="DDF1ED"/>
                <w:sz w:val="17"/>
              </w:rPr>
              <w:t xml:space="preserve">  ·  twelve clean navigation points</w:t>
            </w:r>
          </w:p>
        </w:tc>
        <w:trPr>
          <w:tblHeader/>
        </w:trPr>
      </w:tr>
    </w:tbl>
    <w:p>
      <w:pPr>
        <w:spacing w:after="20"/>
      </w:pPr>
    </w:p>
    <w:tbl>
      <w:tblPr>
        <w:tblW w:type="auto" w:w="0"/>
        <w:jc w:val="left"/>
        <w:tblLayout w:type="fixed"/>
        <w:tblLook w:firstColumn="1" w:firstRow="1" w:lastColumn="0" w:lastRow="0" w:noHBand="0" w:noVBand="1" w:val="04A0"/>
      </w:tblPr>
      <w:tblGrid>
        <w:gridCol w:w="1080"/>
        <w:gridCol w:w="7056"/>
        <w:gridCol w:w="1656"/>
      </w:tblGrid>
      <w:tr>
        <w:trPr>
          <w:tblHeader w:val="true"/>
        </w:trPr>
        <w:tc>
          <w:tcPr>
            <w:tcW w:type="dxa" w:w="3389"/>
            <w:shd w:fill="142D3B"/>
            <w:tcMar>
              <w:top w:w="120" w:type="dxa"/>
              <w:start w:w="140" w:type="dxa"/>
              <w:bottom w:w="120" w:type="dxa"/>
              <w:end w:w="140" w:type="dxa"/>
            </w:tcMar>
          </w:tcPr>
          <w:p>
            <w:r>
              <w:rPr>
                <w:b/>
                <w:color w:val="FFFFFF"/>
                <w:sz w:val="16"/>
              </w:rPr>
              <w:t>TIME</w:t>
            </w:r>
          </w:p>
        </w:tc>
        <w:tc>
          <w:tcPr>
            <w:tcW w:type="dxa" w:w="3389"/>
            <w:shd w:fill="142D3B"/>
            <w:tcMar>
              <w:top w:w="120" w:type="dxa"/>
              <w:start w:w="140" w:type="dxa"/>
              <w:bottom w:w="120" w:type="dxa"/>
              <w:end w:w="140" w:type="dxa"/>
            </w:tcMar>
          </w:tcPr>
          <w:p>
            <w:r>
              <w:rPr>
                <w:b/>
                <w:color w:val="FFFFFF"/>
                <w:sz w:val="16"/>
              </w:rPr>
              <w:t>CHAPTER</w:t>
            </w:r>
          </w:p>
        </w:tc>
        <w:tc>
          <w:tcPr>
            <w:tcW w:type="dxa" w:w="3389"/>
            <w:shd w:fill="142D3B"/>
            <w:tcMar>
              <w:top w:w="120" w:type="dxa"/>
              <w:start w:w="140" w:type="dxa"/>
              <w:bottom w:w="120" w:type="dxa"/>
              <w:end w:w="140" w:type="dxa"/>
            </w:tcMar>
          </w:tcPr>
          <w:p>
            <w:r>
              <w:rPr>
                <w:b/>
                <w:color w:val="FFFFFF"/>
                <w:sz w:val="16"/>
              </w:rPr>
              <w:t>SOURCE</w:t>
            </w:r>
          </w:p>
        </w:tc>
      </w:tr>
      <w:tr>
        <w:tc>
          <w:tcPr>
            <w:tcW w:type="dxa" w:w="1080"/>
            <w:shd w:fill="F7F2E8"/>
            <w:tcMar>
              <w:top w:w="120" w:type="dxa"/>
              <w:start w:w="140" w:type="dxa"/>
              <w:bottom w:w="120" w:type="dxa"/>
              <w:end w:w="140" w:type="dxa"/>
            </w:tcMar>
            <w:vAlign w:val="center"/>
          </w:tcPr>
          <w:p>
            <w:pPr>
              <w:spacing w:after="0"/>
            </w:pPr>
            <w:r>
              <w:rPr>
                <w:b/>
                <w:color w:val="148F8B"/>
                <w:sz w:val="17"/>
              </w:rPr>
              <w:t>00:00</w:t>
            </w:r>
          </w:p>
        </w:tc>
        <w:tc>
          <w:tcPr>
            <w:tcW w:type="dxa" w:w="7056"/>
            <w:shd w:fill="F7F2E8"/>
            <w:tcMar>
              <w:top w:w="120" w:type="dxa"/>
              <w:start w:w="140" w:type="dxa"/>
              <w:bottom w:w="120" w:type="dxa"/>
              <w:end w:w="140" w:type="dxa"/>
            </w:tcMar>
            <w:vAlign w:val="center"/>
          </w:tcPr>
          <w:p>
            <w:pPr>
              <w:spacing w:after="0"/>
            </w:pPr>
            <w:r>
              <w:rPr>
                <w:sz w:val="17"/>
              </w:rPr>
              <w:t>Welcome: the event system, not repair advice</w:t>
            </w:r>
          </w:p>
        </w:tc>
        <w:tc>
          <w:tcPr>
            <w:tcW w:type="dxa" w:w="1656"/>
            <w:shd w:fill="F7F2E8"/>
            <w:tcMar>
              <w:top w:w="120" w:type="dxa"/>
              <w:start w:w="140" w:type="dxa"/>
              <w:bottom w:w="120" w:type="dxa"/>
              <w:end w:w="140" w:type="dxa"/>
            </w:tcMar>
            <w:vAlign w:val="center"/>
          </w:tcPr>
          <w:p>
            <w:pPr>
              <w:spacing w:after="0"/>
            </w:pPr>
            <w:r>
              <w:rPr>
                <w:color w:val="5D6A70"/>
                <w:sz w:val="17"/>
              </w:rPr>
              <w:t>TS-01</w:t>
            </w:r>
          </w:p>
        </w:tc>
      </w:tr>
      <w:tr>
        <w:tc>
          <w:tcPr>
            <w:tcW w:type="dxa" w:w="1080"/>
            <w:shd w:fill="FFFFFF"/>
            <w:tcMar>
              <w:top w:w="120" w:type="dxa"/>
              <w:start w:w="140" w:type="dxa"/>
              <w:bottom w:w="120" w:type="dxa"/>
              <w:end w:w="140" w:type="dxa"/>
            </w:tcMar>
            <w:vAlign w:val="center"/>
          </w:tcPr>
          <w:p>
            <w:pPr>
              <w:spacing w:after="0"/>
            </w:pPr>
            <w:r>
              <w:rPr>
                <w:b/>
                <w:color w:val="148F8B"/>
                <w:sz w:val="17"/>
              </w:rPr>
              <w:t>01:34</w:t>
            </w:r>
          </w:p>
        </w:tc>
        <w:tc>
          <w:tcPr>
            <w:tcW w:type="dxa" w:w="7056"/>
            <w:shd w:fill="FFFFFF"/>
            <w:tcMar>
              <w:top w:w="120" w:type="dxa"/>
              <w:start w:w="140" w:type="dxa"/>
              <w:bottom w:w="120" w:type="dxa"/>
              <w:end w:w="140" w:type="dxa"/>
            </w:tcMar>
            <w:vAlign w:val="center"/>
          </w:tcPr>
          <w:p>
            <w:pPr>
              <w:spacing w:after="0"/>
            </w:pPr>
            <w:r>
              <w:rPr>
                <w:sz w:val="17"/>
              </w:rPr>
              <w:t>The intake card makes expectations visible</w:t>
            </w:r>
          </w:p>
        </w:tc>
        <w:tc>
          <w:tcPr>
            <w:tcW w:type="dxa" w:w="1656"/>
            <w:shd w:fill="FFFFFF"/>
            <w:tcMar>
              <w:top w:w="120" w:type="dxa"/>
              <w:start w:w="140" w:type="dxa"/>
              <w:bottom w:w="120" w:type="dxa"/>
              <w:end w:w="140" w:type="dxa"/>
            </w:tcMar>
            <w:vAlign w:val="center"/>
          </w:tcPr>
          <w:p>
            <w:pPr>
              <w:spacing w:after="0"/>
            </w:pPr>
            <w:r>
              <w:rPr>
                <w:color w:val="5D6A70"/>
                <w:sz w:val="17"/>
              </w:rPr>
              <w:t>TS-03</w:t>
            </w:r>
          </w:p>
        </w:tc>
      </w:tr>
      <w:tr>
        <w:tc>
          <w:tcPr>
            <w:tcW w:type="dxa" w:w="1080"/>
            <w:shd w:fill="F7F2E8"/>
            <w:tcMar>
              <w:top w:w="120" w:type="dxa"/>
              <w:start w:w="140" w:type="dxa"/>
              <w:bottom w:w="120" w:type="dxa"/>
              <w:end w:w="140" w:type="dxa"/>
            </w:tcMar>
            <w:vAlign w:val="center"/>
          </w:tcPr>
          <w:p>
            <w:pPr>
              <w:spacing w:after="0"/>
            </w:pPr>
            <w:r>
              <w:rPr>
                <w:b/>
                <w:color w:val="148F8B"/>
                <w:sz w:val="17"/>
              </w:rPr>
              <w:t>03:46</w:t>
            </w:r>
          </w:p>
        </w:tc>
        <w:tc>
          <w:tcPr>
            <w:tcW w:type="dxa" w:w="7056"/>
            <w:shd w:fill="F7F2E8"/>
            <w:tcMar>
              <w:top w:w="120" w:type="dxa"/>
              <w:start w:w="140" w:type="dxa"/>
              <w:bottom w:w="120" w:type="dxa"/>
              <w:end w:w="140" w:type="dxa"/>
            </w:tcMar>
            <w:vAlign w:val="center"/>
          </w:tcPr>
          <w:p>
            <w:pPr>
              <w:spacing w:after="0"/>
            </w:pPr>
            <w:r>
              <w:rPr>
                <w:sz w:val="17"/>
              </w:rPr>
              <w:t>A three-tray queue for scope and uncertainty</w:t>
            </w:r>
          </w:p>
        </w:tc>
        <w:tc>
          <w:tcPr>
            <w:tcW w:type="dxa" w:w="1656"/>
            <w:shd w:fill="F7F2E8"/>
            <w:tcMar>
              <w:top w:w="120" w:type="dxa"/>
              <w:start w:w="140" w:type="dxa"/>
              <w:bottom w:w="120" w:type="dxa"/>
              <w:end w:w="140" w:type="dxa"/>
            </w:tcMar>
            <w:vAlign w:val="center"/>
          </w:tcPr>
          <w:p>
            <w:pPr>
              <w:spacing w:after="0"/>
            </w:pPr>
            <w:r>
              <w:rPr>
                <w:color w:val="5D6A70"/>
                <w:sz w:val="17"/>
              </w:rPr>
              <w:t>TS-05</w:t>
            </w:r>
          </w:p>
        </w:tc>
      </w:tr>
      <w:tr>
        <w:tc>
          <w:tcPr>
            <w:tcW w:type="dxa" w:w="1080"/>
            <w:shd w:fill="FFFFFF"/>
            <w:tcMar>
              <w:top w:w="120" w:type="dxa"/>
              <w:start w:w="140" w:type="dxa"/>
              <w:bottom w:w="120" w:type="dxa"/>
              <w:end w:w="140" w:type="dxa"/>
            </w:tcMar>
            <w:vAlign w:val="center"/>
          </w:tcPr>
          <w:p>
            <w:pPr>
              <w:spacing w:after="0"/>
            </w:pPr>
            <w:r>
              <w:rPr>
                <w:b/>
                <w:color w:val="148F8B"/>
                <w:sz w:val="17"/>
              </w:rPr>
              <w:t>06:05</w:t>
            </w:r>
          </w:p>
        </w:tc>
        <w:tc>
          <w:tcPr>
            <w:tcW w:type="dxa" w:w="7056"/>
            <w:shd w:fill="FFFFFF"/>
            <w:tcMar>
              <w:top w:w="120" w:type="dxa"/>
              <w:start w:w="140" w:type="dxa"/>
              <w:bottom w:w="120" w:type="dxa"/>
              <w:end w:w="140" w:type="dxa"/>
            </w:tcMar>
            <w:vAlign w:val="center"/>
          </w:tcPr>
          <w:p>
            <w:pPr>
              <w:spacing w:after="0"/>
            </w:pPr>
            <w:r>
              <w:rPr>
                <w:sz w:val="17"/>
              </w:rPr>
              <w:t>Inspecting together without blurring expertise</w:t>
            </w:r>
          </w:p>
        </w:tc>
        <w:tc>
          <w:tcPr>
            <w:tcW w:type="dxa" w:w="1656"/>
            <w:shd w:fill="FFFFFF"/>
            <w:tcMar>
              <w:top w:w="120" w:type="dxa"/>
              <w:start w:w="140" w:type="dxa"/>
              <w:bottom w:w="120" w:type="dxa"/>
              <w:end w:w="140" w:type="dxa"/>
            </w:tcMar>
            <w:vAlign w:val="center"/>
          </w:tcPr>
          <w:p>
            <w:pPr>
              <w:spacing w:after="0"/>
            </w:pPr>
            <w:r>
              <w:rPr>
                <w:color w:val="5D6A70"/>
                <w:sz w:val="17"/>
              </w:rPr>
              <w:t>TS-07</w:t>
            </w:r>
          </w:p>
        </w:tc>
      </w:tr>
      <w:tr>
        <w:tc>
          <w:tcPr>
            <w:tcW w:type="dxa" w:w="1080"/>
            <w:shd w:fill="F7F2E8"/>
            <w:tcMar>
              <w:top w:w="120" w:type="dxa"/>
              <w:start w:w="140" w:type="dxa"/>
              <w:bottom w:w="120" w:type="dxa"/>
              <w:end w:w="140" w:type="dxa"/>
            </w:tcMar>
            <w:vAlign w:val="center"/>
          </w:tcPr>
          <w:p>
            <w:pPr>
              <w:spacing w:after="0"/>
            </w:pPr>
            <w:r>
              <w:rPr>
                <w:b/>
                <w:color w:val="148F8B"/>
                <w:sz w:val="17"/>
              </w:rPr>
              <w:t>08:30</w:t>
            </w:r>
          </w:p>
        </w:tc>
        <w:tc>
          <w:tcPr>
            <w:tcW w:type="dxa" w:w="7056"/>
            <w:shd w:fill="F7F2E8"/>
            <w:tcMar>
              <w:top w:w="120" w:type="dxa"/>
              <w:start w:w="140" w:type="dxa"/>
              <w:bottom w:w="120" w:type="dxa"/>
              <w:end w:w="140" w:type="dxa"/>
            </w:tcMar>
            <w:vAlign w:val="center"/>
          </w:tcPr>
          <w:p>
            <w:pPr>
              <w:spacing w:after="0"/>
            </w:pPr>
            <w:r>
              <w:rPr>
                <w:sz w:val="17"/>
              </w:rPr>
              <w:t>Stop rules and neutral decline language</w:t>
            </w:r>
          </w:p>
        </w:tc>
        <w:tc>
          <w:tcPr>
            <w:tcW w:type="dxa" w:w="1656"/>
            <w:shd w:fill="F7F2E8"/>
            <w:tcMar>
              <w:top w:w="120" w:type="dxa"/>
              <w:start w:w="140" w:type="dxa"/>
              <w:bottom w:w="120" w:type="dxa"/>
              <w:end w:w="140" w:type="dxa"/>
            </w:tcMar>
            <w:vAlign w:val="center"/>
          </w:tcPr>
          <w:p>
            <w:pPr>
              <w:spacing w:after="0"/>
            </w:pPr>
            <w:r>
              <w:rPr>
                <w:color w:val="5D6A70"/>
                <w:sz w:val="17"/>
              </w:rPr>
              <w:t>TS-09</w:t>
            </w:r>
          </w:p>
        </w:tc>
      </w:tr>
      <w:tr>
        <w:tc>
          <w:tcPr>
            <w:tcW w:type="dxa" w:w="1080"/>
            <w:shd w:fill="FFFFFF"/>
            <w:tcMar>
              <w:top w:w="120" w:type="dxa"/>
              <w:start w:w="140" w:type="dxa"/>
              <w:bottom w:w="120" w:type="dxa"/>
              <w:end w:w="140" w:type="dxa"/>
            </w:tcMar>
            <w:vAlign w:val="center"/>
          </w:tcPr>
          <w:p>
            <w:pPr>
              <w:spacing w:after="0"/>
            </w:pPr>
            <w:r>
              <w:rPr>
                <w:b/>
                <w:color w:val="148F8B"/>
                <w:sz w:val="17"/>
              </w:rPr>
              <w:t>10:51</w:t>
            </w:r>
          </w:p>
        </w:tc>
        <w:tc>
          <w:tcPr>
            <w:tcW w:type="dxa" w:w="7056"/>
            <w:shd w:fill="FFFFFF"/>
            <w:tcMar>
              <w:top w:w="120" w:type="dxa"/>
              <w:start w:w="140" w:type="dxa"/>
              <w:bottom w:w="120" w:type="dxa"/>
              <w:end w:w="140" w:type="dxa"/>
            </w:tcMar>
            <w:vAlign w:val="center"/>
          </w:tcPr>
          <w:p>
            <w:pPr>
              <w:spacing w:after="0"/>
            </w:pPr>
            <w:r>
              <w:rPr>
                <w:sz w:val="17"/>
              </w:rPr>
              <w:t>Schedule essential roles before specialties</w:t>
            </w:r>
          </w:p>
        </w:tc>
        <w:tc>
          <w:tcPr>
            <w:tcW w:type="dxa" w:w="1656"/>
            <w:shd w:fill="FFFFFF"/>
            <w:tcMar>
              <w:top w:w="120" w:type="dxa"/>
              <w:start w:w="140" w:type="dxa"/>
              <w:bottom w:w="120" w:type="dxa"/>
              <w:end w:w="140" w:type="dxa"/>
            </w:tcMar>
            <w:vAlign w:val="center"/>
          </w:tcPr>
          <w:p>
            <w:pPr>
              <w:spacing w:after="0"/>
            </w:pPr>
            <w:r>
              <w:rPr>
                <w:color w:val="5D6A70"/>
                <w:sz w:val="17"/>
              </w:rPr>
              <w:t>TS-11</w:t>
            </w:r>
          </w:p>
        </w:tc>
      </w:tr>
      <w:tr>
        <w:tc>
          <w:tcPr>
            <w:tcW w:type="dxa" w:w="1080"/>
            <w:shd w:fill="F7F2E8"/>
            <w:tcMar>
              <w:top w:w="120" w:type="dxa"/>
              <w:start w:w="140" w:type="dxa"/>
              <w:bottom w:w="120" w:type="dxa"/>
              <w:end w:w="140" w:type="dxa"/>
            </w:tcMar>
            <w:vAlign w:val="center"/>
          </w:tcPr>
          <w:p>
            <w:pPr>
              <w:spacing w:after="0"/>
            </w:pPr>
            <w:r>
              <w:rPr>
                <w:b/>
                <w:color w:val="148F8B"/>
                <w:sz w:val="17"/>
              </w:rPr>
              <w:t>13:08</w:t>
            </w:r>
          </w:p>
        </w:tc>
        <w:tc>
          <w:tcPr>
            <w:tcW w:type="dxa" w:w="7056"/>
            <w:shd w:fill="F7F2E8"/>
            <w:tcMar>
              <w:top w:w="120" w:type="dxa"/>
              <w:start w:w="140" w:type="dxa"/>
              <w:bottom w:w="120" w:type="dxa"/>
              <w:end w:w="140" w:type="dxa"/>
            </w:tcMar>
            <w:vAlign w:val="center"/>
          </w:tcPr>
          <w:p>
            <w:pPr>
              <w:spacing w:after="0"/>
            </w:pPr>
            <w:r>
              <w:rPr>
                <w:sz w:val="17"/>
              </w:rPr>
              <w:t>One steward, one visible tool log</w:t>
            </w:r>
          </w:p>
        </w:tc>
        <w:tc>
          <w:tcPr>
            <w:tcW w:type="dxa" w:w="1656"/>
            <w:shd w:fill="F7F2E8"/>
            <w:tcMar>
              <w:top w:w="120" w:type="dxa"/>
              <w:start w:w="140" w:type="dxa"/>
              <w:bottom w:w="120" w:type="dxa"/>
              <w:end w:w="140" w:type="dxa"/>
            </w:tcMar>
            <w:vAlign w:val="center"/>
          </w:tcPr>
          <w:p>
            <w:pPr>
              <w:spacing w:after="0"/>
            </w:pPr>
            <w:r>
              <w:rPr>
                <w:color w:val="5D6A70"/>
                <w:sz w:val="17"/>
              </w:rPr>
              <w:t>TS-13</w:t>
            </w:r>
          </w:p>
        </w:tc>
      </w:tr>
      <w:tr>
        <w:tc>
          <w:tcPr>
            <w:tcW w:type="dxa" w:w="1080"/>
            <w:shd w:fill="FFFFFF"/>
            <w:tcMar>
              <w:top w:w="120" w:type="dxa"/>
              <w:start w:w="140" w:type="dxa"/>
              <w:bottom w:w="120" w:type="dxa"/>
              <w:end w:w="140" w:type="dxa"/>
            </w:tcMar>
            <w:vAlign w:val="center"/>
          </w:tcPr>
          <w:p>
            <w:pPr>
              <w:spacing w:after="0"/>
            </w:pPr>
            <w:r>
              <w:rPr>
                <w:b/>
                <w:color w:val="148F8B"/>
                <w:sz w:val="17"/>
              </w:rPr>
              <w:t>15:23</w:t>
            </w:r>
          </w:p>
        </w:tc>
        <w:tc>
          <w:tcPr>
            <w:tcW w:type="dxa" w:w="7056"/>
            <w:shd w:fill="FFFFFF"/>
            <w:tcMar>
              <w:top w:w="120" w:type="dxa"/>
              <w:start w:w="140" w:type="dxa"/>
              <w:bottom w:w="120" w:type="dxa"/>
              <w:end w:w="140" w:type="dxa"/>
            </w:tcMar>
            <w:vAlign w:val="center"/>
          </w:tcPr>
          <w:p>
            <w:pPr>
              <w:spacing w:after="0"/>
            </w:pPr>
            <w:r>
              <w:rPr>
                <w:sz w:val="17"/>
              </w:rPr>
              <w:t>Accessible waiting and privacy-aware queueing</w:t>
            </w:r>
          </w:p>
        </w:tc>
        <w:tc>
          <w:tcPr>
            <w:tcW w:type="dxa" w:w="1656"/>
            <w:shd w:fill="FFFFFF"/>
            <w:tcMar>
              <w:top w:w="120" w:type="dxa"/>
              <w:start w:w="140" w:type="dxa"/>
              <w:bottom w:w="120" w:type="dxa"/>
              <w:end w:w="140" w:type="dxa"/>
            </w:tcMar>
            <w:vAlign w:val="center"/>
          </w:tcPr>
          <w:p>
            <w:pPr>
              <w:spacing w:after="0"/>
            </w:pPr>
            <w:r>
              <w:rPr>
                <w:color w:val="5D6A70"/>
                <w:sz w:val="17"/>
              </w:rPr>
              <w:t>TS-15</w:t>
            </w:r>
          </w:p>
        </w:tc>
      </w:tr>
      <w:tr>
        <w:tc>
          <w:tcPr>
            <w:tcW w:type="dxa" w:w="1080"/>
            <w:shd w:fill="F7F2E8"/>
            <w:tcMar>
              <w:top w:w="120" w:type="dxa"/>
              <w:start w:w="140" w:type="dxa"/>
              <w:bottom w:w="120" w:type="dxa"/>
              <w:end w:w="140" w:type="dxa"/>
            </w:tcMar>
            <w:vAlign w:val="center"/>
          </w:tcPr>
          <w:p>
            <w:pPr>
              <w:spacing w:after="0"/>
            </w:pPr>
            <w:r>
              <w:rPr>
                <w:b/>
                <w:color w:val="148F8B"/>
                <w:sz w:val="17"/>
              </w:rPr>
              <w:t>17:51</w:t>
            </w:r>
          </w:p>
        </w:tc>
        <w:tc>
          <w:tcPr>
            <w:tcW w:type="dxa" w:w="7056"/>
            <w:shd w:fill="F7F2E8"/>
            <w:tcMar>
              <w:top w:w="120" w:type="dxa"/>
              <w:start w:w="140" w:type="dxa"/>
              <w:bottom w:w="120" w:type="dxa"/>
              <w:end w:w="140" w:type="dxa"/>
            </w:tcMar>
            <w:vAlign w:val="center"/>
          </w:tcPr>
          <w:p>
            <w:pPr>
              <w:spacing w:after="0"/>
            </w:pPr>
            <w:r>
              <w:rPr>
                <w:sz w:val="17"/>
              </w:rPr>
              <w:t>Photo consent away from active tables</w:t>
            </w:r>
          </w:p>
        </w:tc>
        <w:tc>
          <w:tcPr>
            <w:tcW w:type="dxa" w:w="1656"/>
            <w:shd w:fill="F7F2E8"/>
            <w:tcMar>
              <w:top w:w="120" w:type="dxa"/>
              <w:start w:w="140" w:type="dxa"/>
              <w:bottom w:w="120" w:type="dxa"/>
              <w:end w:w="140" w:type="dxa"/>
            </w:tcMar>
            <w:vAlign w:val="center"/>
          </w:tcPr>
          <w:p>
            <w:pPr>
              <w:spacing w:after="0"/>
            </w:pPr>
            <w:r>
              <w:rPr>
                <w:color w:val="5D6A70"/>
                <w:sz w:val="17"/>
              </w:rPr>
              <w:t>TS-17</w:t>
            </w:r>
          </w:p>
        </w:tc>
      </w:tr>
      <w:tr>
        <w:tc>
          <w:tcPr>
            <w:tcW w:type="dxa" w:w="1080"/>
            <w:shd w:fill="FFFFFF"/>
            <w:tcMar>
              <w:top w:w="120" w:type="dxa"/>
              <w:start w:w="140" w:type="dxa"/>
              <w:bottom w:w="120" w:type="dxa"/>
              <w:end w:w="140" w:type="dxa"/>
            </w:tcMar>
            <w:vAlign w:val="center"/>
          </w:tcPr>
          <w:p>
            <w:pPr>
              <w:spacing w:after="0"/>
            </w:pPr>
            <w:r>
              <w:rPr>
                <w:b/>
                <w:color w:val="148F8B"/>
                <w:sz w:val="17"/>
              </w:rPr>
              <w:t>20:08</w:t>
            </w:r>
          </w:p>
        </w:tc>
        <w:tc>
          <w:tcPr>
            <w:tcW w:type="dxa" w:w="7056"/>
            <w:shd w:fill="FFFFFF"/>
            <w:tcMar>
              <w:top w:w="120" w:type="dxa"/>
              <w:start w:w="140" w:type="dxa"/>
              <w:bottom w:w="120" w:type="dxa"/>
              <w:end w:w="140" w:type="dxa"/>
            </w:tcMar>
            <w:vAlign w:val="center"/>
          </w:tcPr>
          <w:p>
            <w:pPr>
              <w:spacing w:after="0"/>
            </w:pPr>
            <w:r>
              <w:rPr>
                <w:sz w:val="17"/>
              </w:rPr>
              <w:t>The four-question close</w:t>
            </w:r>
          </w:p>
        </w:tc>
        <w:tc>
          <w:tcPr>
            <w:tcW w:type="dxa" w:w="1656"/>
            <w:shd w:fill="FFFFFF"/>
            <w:tcMar>
              <w:top w:w="120" w:type="dxa"/>
              <w:start w:w="140" w:type="dxa"/>
              <w:bottom w:w="120" w:type="dxa"/>
              <w:end w:w="140" w:type="dxa"/>
            </w:tcMar>
            <w:vAlign w:val="center"/>
          </w:tcPr>
          <w:p>
            <w:pPr>
              <w:spacing w:after="0"/>
            </w:pPr>
            <w:r>
              <w:rPr>
                <w:color w:val="5D6A70"/>
                <w:sz w:val="17"/>
              </w:rPr>
              <w:t>TS-19</w:t>
            </w:r>
          </w:p>
        </w:tc>
      </w:tr>
      <w:tr>
        <w:tc>
          <w:tcPr>
            <w:tcW w:type="dxa" w:w="1080"/>
            <w:shd w:fill="F7F2E8"/>
            <w:tcMar>
              <w:top w:w="120" w:type="dxa"/>
              <w:start w:w="140" w:type="dxa"/>
              <w:bottom w:w="120" w:type="dxa"/>
              <w:end w:w="140" w:type="dxa"/>
            </w:tcMar>
            <w:vAlign w:val="center"/>
          </w:tcPr>
          <w:p>
            <w:pPr>
              <w:spacing w:after="0"/>
            </w:pPr>
            <w:r>
              <w:rPr>
                <w:b/>
                <w:color w:val="148F8B"/>
                <w:sz w:val="17"/>
              </w:rPr>
              <w:t>22:19</w:t>
            </w:r>
          </w:p>
        </w:tc>
        <w:tc>
          <w:tcPr>
            <w:tcW w:type="dxa" w:w="7056"/>
            <w:shd w:fill="F7F2E8"/>
            <w:tcMar>
              <w:top w:w="120" w:type="dxa"/>
              <w:start w:w="140" w:type="dxa"/>
              <w:bottom w:w="120" w:type="dxa"/>
              <w:end w:w="140" w:type="dxa"/>
            </w:tcMar>
            <w:vAlign w:val="center"/>
          </w:tcPr>
          <w:p>
            <w:pPr>
              <w:spacing w:after="0"/>
            </w:pPr>
            <w:r>
              <w:rPr>
                <w:sz w:val="17"/>
              </w:rPr>
              <w:t>Report what the team can actually observe</w:t>
            </w:r>
          </w:p>
        </w:tc>
        <w:tc>
          <w:tcPr>
            <w:tcW w:type="dxa" w:w="1656"/>
            <w:shd w:fill="F7F2E8"/>
            <w:tcMar>
              <w:top w:w="120" w:type="dxa"/>
              <w:start w:w="140" w:type="dxa"/>
              <w:bottom w:w="120" w:type="dxa"/>
              <w:end w:w="140" w:type="dxa"/>
            </w:tcMar>
            <w:vAlign w:val="center"/>
          </w:tcPr>
          <w:p>
            <w:pPr>
              <w:spacing w:after="0"/>
            </w:pPr>
            <w:r>
              <w:rPr>
                <w:color w:val="5D6A70"/>
                <w:sz w:val="17"/>
              </w:rPr>
              <w:t>TS-21</w:t>
            </w:r>
          </w:p>
        </w:tc>
      </w:tr>
      <w:tr>
        <w:tc>
          <w:tcPr>
            <w:tcW w:type="dxa" w:w="1080"/>
            <w:shd w:fill="FFFFFF"/>
            <w:tcMar>
              <w:top w:w="120" w:type="dxa"/>
              <w:start w:w="140" w:type="dxa"/>
              <w:bottom w:w="120" w:type="dxa"/>
              <w:end w:w="140" w:type="dxa"/>
            </w:tcMar>
            <w:vAlign w:val="center"/>
          </w:tcPr>
          <w:p>
            <w:pPr>
              <w:spacing w:after="0"/>
            </w:pPr>
            <w:r>
              <w:rPr>
                <w:b/>
                <w:color w:val="148F8B"/>
                <w:sz w:val="17"/>
              </w:rPr>
              <w:t>24:02</w:t>
            </w:r>
          </w:p>
        </w:tc>
        <w:tc>
          <w:tcPr>
            <w:tcW w:type="dxa" w:w="7056"/>
            <w:shd w:fill="FFFFFF"/>
            <w:tcMar>
              <w:top w:w="120" w:type="dxa"/>
              <w:start w:w="140" w:type="dxa"/>
              <w:bottom w:w="120" w:type="dxa"/>
              <w:end w:w="140" w:type="dxa"/>
            </w:tcMar>
            <w:vAlign w:val="center"/>
          </w:tcPr>
          <w:p>
            <w:pPr>
              <w:spacing w:after="0"/>
            </w:pPr>
            <w:r>
              <w:rPr>
                <w:sz w:val="17"/>
              </w:rPr>
              <w:t>Begin with boundaries, not the tool list</w:t>
            </w:r>
          </w:p>
        </w:tc>
        <w:tc>
          <w:tcPr>
            <w:tcW w:type="dxa" w:w="1656"/>
            <w:shd w:fill="FFFFFF"/>
            <w:tcMar>
              <w:top w:w="120" w:type="dxa"/>
              <w:start w:w="140" w:type="dxa"/>
              <w:bottom w:w="120" w:type="dxa"/>
              <w:end w:w="140" w:type="dxa"/>
            </w:tcMar>
            <w:vAlign w:val="center"/>
          </w:tcPr>
          <w:p>
            <w:pPr>
              <w:spacing w:after="0"/>
            </w:pPr>
            <w:r>
              <w:rPr>
                <w:color w:val="5D6A70"/>
                <w:sz w:val="17"/>
              </w:rPr>
              <w:t>TS-23</w:t>
            </w:r>
          </w:p>
        </w:tc>
      </w:tr>
    </w:tbl>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05</w:t>
            </w:r>
          </w:p>
        </w:tc>
        <w:tc>
          <w:tcPr>
            <w:tcW w:type="dxa" w:w="5083"/>
            <w:shd w:fill="142D3B"/>
            <w:tcMar>
              <w:top w:w="100" w:type="dxa"/>
              <w:start w:w="170" w:type="dxa"/>
              <w:bottom w:w="100" w:type="dxa"/>
              <w:end w:w="170" w:type="dxa"/>
            </w:tcMar>
          </w:tcPr>
          <w:p>
            <w:r>
              <w:rPr>
                <w:b/>
                <w:color w:val="FFFFFF"/>
                <w:sz w:val="20"/>
              </w:rPr>
              <w:t>NEWSLETTER BLURB</w:t>
            </w:r>
            <w:r>
              <w:rPr>
                <w:i/>
                <w:color w:val="DDF1ED"/>
                <w:sz w:val="17"/>
              </w:rPr>
              <w:t xml:space="preserve">  ·  124 words</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READY TO PASTE</w:t>
            </w:r>
          </w:p>
          <w:p>
            <w:pPr>
              <w:pStyle w:val="BodyText"/>
              <w:spacing w:after="60"/>
            </w:pPr>
            <w:r>
              <w:t>What makes a volunteer repair clinic feel calm? In this fictional demonstration episode, coordinator Samir Patel walks through the small system behind Juniper Street Repair Circle: a plain-language intake card, green/yellow/red scope trays, named volunteer roles, shared stop rules, accessible waiting, privacy-aware photography, and a four-question close. The conversation never promises that every object can be fixed. Instead, it shows how a team can make choices visible and report only what it can observe. The clearest takeaway comes at the end: define what the event is, what it is not, and three reasons anyone may stop before building the tool list. Listen to the episode, then adapt the fictional one-page planning worksheet for your own venue and requirements: https://example.com/juniper-repair-worksheet</w:t>
            </w:r>
          </w:p>
          <w:p>
            <w:pPr>
              <w:spacing w:after="0"/>
            </w:pPr>
            <w:r>
              <w:rPr>
                <w:b/>
                <w:color w:val="148F8B"/>
                <w:sz w:val="15"/>
              </w:rPr>
              <w:t>Sources: TS-03, TS-05, TS-09, TS-11, TS-15, TS-17, TS-19, TS-21, TS-23, VF-04</w:t>
            </w:r>
          </w:p>
        </w:tc>
        <w:trPr>
          <w:tblHeader/>
        </w:trPr>
      </w:tr>
    </w:tbl>
    <w:p>
      <w:pPr>
        <w:spacing w:after="20"/>
      </w:pPr>
    </w:p>
    <w:p>
      <w:pPr>
        <w:pStyle w:val="Heading2"/>
        <w:keepNext/>
      </w:pPr>
      <w:r>
        <w:t>Publishing note</w:t>
      </w:r>
    </w:p>
    <w:p>
      <w:pPr>
        <w:pStyle w:val="BodyText"/>
        <w:spacing w:after="140" w:line="259" w:lineRule="auto"/>
        <w:keepLines/>
      </w:pPr>
      <w:r>
        <w:t>Keep the fictional-demo label and non-advice boundary wherever this copy is shown. Verify the reserved demonstration link and replace it only with a buyer-authorized destination.</w:t>
      </w: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06</w:t>
            </w:r>
          </w:p>
        </w:tc>
        <w:tc>
          <w:tcPr>
            <w:tcW w:type="dxa" w:w="5083"/>
            <w:shd w:fill="142D3B"/>
            <w:tcMar>
              <w:top w:w="100" w:type="dxa"/>
              <w:start w:w="170" w:type="dxa"/>
              <w:bottom w:w="100" w:type="dxa"/>
              <w:end w:w="170" w:type="dxa"/>
            </w:tcMar>
          </w:tcPr>
          <w:p>
            <w:r>
              <w:rPr>
                <w:b/>
                <w:color w:val="FFFFFF"/>
                <w:sz w:val="20"/>
              </w:rPr>
              <w:t>QUOTE + CLIP CANDIDATES</w:t>
            </w:r>
            <w:r>
              <w:rPr>
                <w:i/>
                <w:color w:val="DDF1ED"/>
                <w:sz w:val="17"/>
              </w:rPr>
              <w:t xml:space="preserve">  ·  exact excerpts with timestamps</w:t>
            </w:r>
          </w:p>
        </w:tc>
        <w:trPr>
          <w:tblHeader/>
        </w:trPr>
      </w:tr>
    </w:tbl>
    <w:p>
      <w:pPr>
        <w:spacing w:after="2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01:34</w:t>
            </w:r>
          </w:p>
        </w:tc>
        <w:tc>
          <w:tcPr>
            <w:tcW w:type="dxa" w:w="5083"/>
            <w:shd w:fill="EEF4F3"/>
            <w:tcMar>
              <w:top w:w="150" w:type="dxa"/>
              <w:start w:w="180" w:type="dxa"/>
              <w:bottom w:w="150" w:type="dxa"/>
              <w:end w:w="180" w:type="dxa"/>
            </w:tcMar>
          </w:tcPr>
          <w:p>
            <w:r>
              <w:rPr>
                <w:i/>
                <w:color w:val="24343D"/>
                <w:sz w:val="20"/>
              </w:rPr>
              <w:t>“The paper is our promise to be clear before we try to be clever.”</w:t>
            </w:r>
          </w:p>
          <w:p>
            <w:pPr>
              <w:spacing w:after="0"/>
            </w:pPr>
            <w:r>
              <w:rPr>
                <w:b/>
                <w:color w:val="148F8B"/>
                <w:sz w:val="15"/>
              </w:rPr>
              <w:t>— Samir Patel  ·  Sources: TS-03</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03:46</w:t>
            </w:r>
          </w:p>
        </w:tc>
        <w:tc>
          <w:tcPr>
            <w:tcW w:type="dxa" w:w="5083"/>
            <w:shd w:fill="EEF4F3"/>
            <w:tcMar>
              <w:top w:w="150" w:type="dxa"/>
              <w:start w:w="180" w:type="dxa"/>
              <w:bottom w:w="150" w:type="dxa"/>
              <w:end w:w="180" w:type="dxa"/>
            </w:tcMar>
          </w:tcPr>
          <w:p>
            <w:r>
              <w:rPr>
                <w:i/>
                <w:color w:val="24343D"/>
                <w:sz w:val="20"/>
              </w:rPr>
              <w:t>“The colors are not a judgment on the person or the object.”</w:t>
            </w:r>
          </w:p>
          <w:p>
            <w:pPr>
              <w:spacing w:after="0"/>
            </w:pPr>
            <w:r>
              <w:rPr>
                <w:b/>
                <w:color w:val="148F8B"/>
                <w:sz w:val="15"/>
              </w:rPr>
              <w:t>— Samir Patel  ·  Sources: TS-05</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03:46</w:t>
            </w:r>
          </w:p>
        </w:tc>
        <w:tc>
          <w:tcPr>
            <w:tcW w:type="dxa" w:w="5083"/>
            <w:shd w:fill="EEF4F3"/>
            <w:tcMar>
              <w:top w:w="150" w:type="dxa"/>
              <w:start w:w="180" w:type="dxa"/>
              <w:bottom w:w="150" w:type="dxa"/>
              <w:end w:w="180" w:type="dxa"/>
            </w:tcMar>
          </w:tcPr>
          <w:p>
            <w:r>
              <w:rPr>
                <w:i/>
                <w:color w:val="24343D"/>
                <w:sz w:val="20"/>
              </w:rPr>
              <w:t>“The visitor keeps control of their property until a named volunteer invites them to a table.”</w:t>
            </w:r>
          </w:p>
          <w:p>
            <w:pPr>
              <w:spacing w:after="0"/>
            </w:pPr>
            <w:r>
              <w:rPr>
                <w:b/>
                <w:color w:val="148F8B"/>
                <w:sz w:val="15"/>
              </w:rPr>
              <w:t>— Samir Patel  ·  Sources: TS-05</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10:51</w:t>
            </w:r>
          </w:p>
        </w:tc>
        <w:tc>
          <w:tcPr>
            <w:tcW w:type="dxa" w:w="5083"/>
            <w:shd w:fill="EEF4F3"/>
            <w:tcMar>
              <w:top w:w="150" w:type="dxa"/>
              <w:start w:w="180" w:type="dxa"/>
              <w:bottom w:w="150" w:type="dxa"/>
              <w:end w:w="180" w:type="dxa"/>
            </w:tcMar>
          </w:tcPr>
          <w:p>
            <w:r>
              <w:rPr>
                <w:i/>
                <w:color w:val="24343D"/>
                <w:sz w:val="20"/>
              </w:rPr>
              <w:t>“That is one of our most important practices: a stop does not require a debate.”</w:t>
            </w:r>
          </w:p>
          <w:p>
            <w:pPr>
              <w:spacing w:after="0"/>
            </w:pPr>
            <w:r>
              <w:rPr>
                <w:b/>
                <w:color w:val="148F8B"/>
                <w:sz w:val="15"/>
              </w:rPr>
              <w:t>— Samir Patel  ·  Sources: TS-11</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13:08</w:t>
            </w:r>
          </w:p>
        </w:tc>
        <w:tc>
          <w:tcPr>
            <w:tcW w:type="dxa" w:w="5083"/>
            <w:shd w:fill="EEF4F3"/>
            <w:tcMar>
              <w:top w:w="150" w:type="dxa"/>
              <w:start w:w="180" w:type="dxa"/>
              <w:bottom w:w="150" w:type="dxa"/>
              <w:end w:w="180" w:type="dxa"/>
            </w:tcMar>
          </w:tcPr>
          <w:p>
            <w:r>
              <w:rPr>
                <w:i/>
                <w:color w:val="24343D"/>
                <w:sz w:val="20"/>
              </w:rPr>
              <w:t>“The point is not surveillance; it is making the last hour easier.”</w:t>
            </w:r>
          </w:p>
          <w:p>
            <w:pPr>
              <w:spacing w:after="0"/>
            </w:pPr>
            <w:r>
              <w:rPr>
                <w:b/>
                <w:color w:val="148F8B"/>
                <w:sz w:val="15"/>
              </w:rPr>
              <w:t>— Samir Patel  ·  Sources: TS-13</w:t>
            </w:r>
          </w:p>
        </w:tc>
        <w:trPr>
          <w:tblHeader/>
        </w:trPr>
      </w:tr>
    </w:tbl>
    <w:p>
      <w:pPr>
        <w:spacing w:after="0"/>
      </w:pP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06B</w:t>
            </w:r>
          </w:p>
        </w:tc>
        <w:tc>
          <w:tcPr>
            <w:tcW w:type="dxa" w:w="5083"/>
            <w:shd w:fill="142D3B"/>
            <w:tcMar>
              <w:top w:w="100" w:type="dxa"/>
              <w:start w:w="170" w:type="dxa"/>
              <w:bottom w:w="100" w:type="dxa"/>
              <w:end w:w="170" w:type="dxa"/>
            </w:tcMar>
          </w:tcPr>
          <w:p>
            <w:r>
              <w:rPr>
                <w:b/>
                <w:color w:val="FFFFFF"/>
                <w:sz w:val="20"/>
              </w:rPr>
              <w:t>QUOTE + CLIP CANDIDATES</w:t>
            </w:r>
            <w:r>
              <w:rPr>
                <w:i/>
                <w:color w:val="DDF1ED"/>
                <w:sz w:val="17"/>
              </w:rPr>
              <w:t xml:space="preserve">  ·  continued</w:t>
            </w:r>
          </w:p>
        </w:tc>
        <w:trPr>
          <w:tblHeader/>
        </w:trPr>
      </w:tr>
    </w:tbl>
    <w:p>
      <w:pPr>
        <w:spacing w:after="2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17:51</w:t>
            </w:r>
          </w:p>
        </w:tc>
        <w:tc>
          <w:tcPr>
            <w:tcW w:type="dxa" w:w="5083"/>
            <w:shd w:fill="EEF4F3"/>
            <w:tcMar>
              <w:top w:w="150" w:type="dxa"/>
              <w:start w:w="180" w:type="dxa"/>
              <w:bottom w:w="150" w:type="dxa"/>
              <w:end w:w="180" w:type="dxa"/>
            </w:tcMar>
          </w:tcPr>
          <w:p>
            <w:r>
              <w:rPr>
                <w:i/>
                <w:color w:val="24343D"/>
                <w:sz w:val="20"/>
              </w:rPr>
              <w:t>“The default is no photography at active tables.”</w:t>
            </w:r>
          </w:p>
          <w:p>
            <w:pPr>
              <w:spacing w:after="0"/>
            </w:pPr>
            <w:r>
              <w:rPr>
                <w:b/>
                <w:color w:val="148F8B"/>
                <w:sz w:val="15"/>
              </w:rPr>
              <w:t>— Samir Patel  ·  Sources: TS-17</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22:19</w:t>
            </w:r>
          </w:p>
        </w:tc>
        <w:tc>
          <w:tcPr>
            <w:tcW w:type="dxa" w:w="5083"/>
            <w:shd w:fill="EEF4F3"/>
            <w:tcMar>
              <w:top w:w="150" w:type="dxa"/>
              <w:start w:w="180" w:type="dxa"/>
              <w:bottom w:w="150" w:type="dxa"/>
              <w:end w:w="180" w:type="dxa"/>
            </w:tcMar>
          </w:tcPr>
          <w:p>
            <w:r>
              <w:rPr>
                <w:i/>
                <w:color w:val="24343D"/>
                <w:sz w:val="20"/>
              </w:rPr>
              <w:t>“We say what we can observe.”</w:t>
            </w:r>
          </w:p>
          <w:p>
            <w:pPr>
              <w:spacing w:after="0"/>
            </w:pPr>
            <w:r>
              <w:rPr>
                <w:b/>
                <w:color w:val="148F8B"/>
                <w:sz w:val="15"/>
              </w:rPr>
              <w:t>— Samir Patel  ·  Sources: TS-21</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22:19</w:t>
            </w:r>
          </w:p>
        </w:tc>
        <w:tc>
          <w:tcPr>
            <w:tcW w:type="dxa" w:w="5083"/>
            <w:shd w:fill="EEF4F3"/>
            <w:tcMar>
              <w:top w:w="150" w:type="dxa"/>
              <w:start w:w="180" w:type="dxa"/>
              <w:bottom w:w="150" w:type="dxa"/>
              <w:end w:w="180" w:type="dxa"/>
            </w:tcMar>
          </w:tcPr>
          <w:p>
            <w:r>
              <w:rPr>
                <w:i/>
                <w:color w:val="24343D"/>
                <w:sz w:val="20"/>
              </w:rPr>
              <w:t>“The monthly win is that people know when the next event is, what to bring, what not to bring, and what kind of conversation they will have at the table.”</w:t>
            </w:r>
          </w:p>
          <w:p>
            <w:pPr>
              <w:spacing w:after="0"/>
            </w:pPr>
            <w:r>
              <w:rPr>
                <w:b/>
                <w:color w:val="148F8B"/>
                <w:sz w:val="15"/>
              </w:rPr>
              <w:t>— Samir Patel  ·  Sources: TS-21</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24:02</w:t>
            </w:r>
          </w:p>
        </w:tc>
        <w:tc>
          <w:tcPr>
            <w:tcW w:type="dxa" w:w="5083"/>
            <w:shd w:fill="EEF4F3"/>
            <w:tcMar>
              <w:top w:w="150" w:type="dxa"/>
              <w:start w:w="180" w:type="dxa"/>
              <w:bottom w:w="150" w:type="dxa"/>
              <w:end w:w="180" w:type="dxa"/>
            </w:tcMar>
          </w:tcPr>
          <w:p>
            <w:r>
              <w:rPr>
                <w:i/>
                <w:color w:val="24343D"/>
                <w:sz w:val="20"/>
              </w:rPr>
              <w:t>“Begin with the boundaries, not the tool list.”</w:t>
            </w:r>
          </w:p>
          <w:p>
            <w:pPr>
              <w:spacing w:after="0"/>
            </w:pPr>
            <w:r>
              <w:rPr>
                <w:b/>
                <w:color w:val="148F8B"/>
                <w:sz w:val="15"/>
              </w:rPr>
              <w:t>— Samir Patel  ·  Sources: TS-23</w:t>
            </w:r>
          </w:p>
        </w:tc>
        <w:trPr>
          <w:tblHeader/>
        </w:trPr>
      </w:tr>
    </w:tbl>
    <w:p>
      <w:pPr>
        <w:spacing w:after="0"/>
      </w:pPr>
    </w:p>
    <w:tbl>
      <w:tblPr>
        <w:tblW w:type="auto" w:w="0"/>
        <w:jc w:val="left"/>
        <w:tblLayout w:type="fixed"/>
        <w:tblLook w:firstColumn="1" w:firstRow="1" w:lastColumn="0" w:lastRow="0" w:noHBand="0" w:noVBand="1" w:val="04A0"/>
      </w:tblPr>
      <w:tblGrid>
        <w:gridCol w:w="1152"/>
        <w:gridCol w:w="8640"/>
      </w:tblGrid>
      <w:tr>
        <w:tc>
          <w:tcPr>
            <w:tcW w:type="dxa" w:w="5083"/>
            <w:shd w:fill="E99746"/>
            <w:tcMar>
              <w:top w:w="150" w:type="dxa"/>
              <w:start w:w="100" w:type="dxa"/>
              <w:bottom w:w="150" w:type="dxa"/>
              <w:end w:w="100" w:type="dxa"/>
            </w:tcMar>
          </w:tcPr>
          <w:p>
            <w:pPr>
              <w:jc w:val="center"/>
            </w:pPr>
            <w:r>
              <w:rPr>
                <w:b/>
                <w:color w:val="142D3B"/>
                <w:sz w:val="18"/>
              </w:rPr>
              <w:t>24:02</w:t>
            </w:r>
          </w:p>
        </w:tc>
        <w:tc>
          <w:tcPr>
            <w:tcW w:type="dxa" w:w="5083"/>
            <w:shd w:fill="EEF4F3"/>
            <w:tcMar>
              <w:top w:w="150" w:type="dxa"/>
              <w:start w:w="180" w:type="dxa"/>
              <w:bottom w:w="150" w:type="dxa"/>
              <w:end w:w="180" w:type="dxa"/>
            </w:tcMar>
          </w:tcPr>
          <w:p>
            <w:r>
              <w:rPr>
                <w:i/>
                <w:color w:val="24343D"/>
                <w:sz w:val="20"/>
              </w:rPr>
              <w:t>“The tools can follow the people and the scope.”</w:t>
            </w:r>
          </w:p>
          <w:p>
            <w:pPr>
              <w:spacing w:after="0"/>
            </w:pPr>
            <w:r>
              <w:rPr>
                <w:b/>
                <w:color w:val="148F8B"/>
                <w:sz w:val="15"/>
              </w:rPr>
              <w:t>— Samir Patel  ·  Sources: TS-23</w:t>
            </w:r>
          </w:p>
        </w:tc>
        <w:trPr>
          <w:tblHeader/>
        </w:trPr>
      </w:tr>
    </w:tbl>
    <w:p>
      <w:pPr>
        <w:spacing w:after="0"/>
      </w:pP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07</w:t>
            </w:r>
          </w:p>
        </w:tc>
        <w:tc>
          <w:tcPr>
            <w:tcW w:type="dxa" w:w="5083"/>
            <w:shd w:fill="142D3B"/>
            <w:tcMar>
              <w:top w:w="100" w:type="dxa"/>
              <w:start w:w="170" w:type="dxa"/>
              <w:bottom w:w="100" w:type="dxa"/>
              <w:end w:w="170" w:type="dxa"/>
            </w:tcMar>
          </w:tcPr>
          <w:p>
            <w:r>
              <w:rPr>
                <w:b/>
                <w:color w:val="FFFFFF"/>
                <w:sz w:val="20"/>
              </w:rPr>
              <w:t>SOCIAL DRAFTS</w:t>
            </w:r>
            <w:r>
              <w:rPr>
                <w:i/>
                <w:color w:val="DDF1ED"/>
                <w:sz w:val="17"/>
              </w:rPr>
              <w:t xml:space="preserve">  ·  five platform-neutral options</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SOC-01  /  DRAFT</w:t>
            </w:r>
          </w:p>
          <w:p>
            <w:pPr>
              <w:pStyle w:val="BodyText"/>
              <w:spacing w:after="60"/>
            </w:pPr>
            <w:r>
              <w:t>A calm repair clinic begins before the toolbox opens. This fictional episode follows the intake card, three-tray queue, stop rules, and closing questions that help one volunteer team make expectations visible. No guaranteed fixes—just a practical event system.</w:t>
            </w:r>
          </w:p>
          <w:p>
            <w:pPr>
              <w:spacing w:after="0"/>
            </w:pPr>
            <w:r>
              <w:rPr>
                <w:b/>
                <w:color w:val="148F8B"/>
                <w:sz w:val="15"/>
              </w:rPr>
              <w:t>Sources: TS-03, TS-05, TS-09, TS-19</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SOC-02  /  PARAPHRASE + CONTEXT</w:t>
            </w:r>
          </w:p>
          <w:p>
            <w:pPr>
              <w:pStyle w:val="BodyText"/>
              <w:spacing w:after="60"/>
            </w:pPr>
            <w:r>
              <w:t>“The card moves before the object does.” One small queue choice prevents mystery piles and keeps the visitor in control of their property. Hear the full fictional workflow behind Juniper Street Repair Circle.</w:t>
            </w:r>
          </w:p>
          <w:p>
            <w:pPr>
              <w:spacing w:after="0"/>
            </w:pPr>
            <w:r>
              <w:rPr>
                <w:b/>
                <w:color w:val="148F8B"/>
                <w:sz w:val="15"/>
              </w:rPr>
              <w:t>Sources: TS-05, TS-06</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SOC-03  /  DRAFT</w:t>
            </w:r>
          </w:p>
          <w:p>
            <w:pPr>
              <w:pStyle w:val="BodyText"/>
              <w:spacing w:after="60"/>
            </w:pPr>
            <w:r>
              <w:t>Green: in scope with a matching volunteer. Yellow: pause for a conversation. Red: not today. The colors in this fictional clinic are a shared decision aid—not a judgment and not a technical diagnosis.</w:t>
            </w:r>
          </w:p>
          <w:p>
            <w:pPr>
              <w:spacing w:after="0"/>
            </w:pPr>
            <w:r>
              <w:rPr>
                <w:b/>
                <w:color w:val="148F8B"/>
                <w:sz w:val="15"/>
              </w:rPr>
              <w:t>Sources: TS-05, TS-09</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SOC-04  /  DRAFT</w:t>
            </w:r>
          </w:p>
          <w:p>
            <w:pPr>
              <w:pStyle w:val="BodyText"/>
              <w:spacing w:after="60"/>
            </w:pPr>
            <w:r>
              <w:t>Four closing questions can keep a monthly volunteer event from carrying loose ends forward: people and objects accounted for, tools returned, supplies noted, and one content-free process improvement recorded.</w:t>
            </w:r>
          </w:p>
          <w:p>
            <w:pPr>
              <w:spacing w:after="0"/>
            </w:pPr>
            <w:r>
              <w:rPr>
                <w:b/>
                <w:color w:val="148F8B"/>
                <w:sz w:val="15"/>
              </w:rPr>
              <w:t>Sources: TS-19</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SOC-05  /  DRAFT</w:t>
            </w:r>
          </w:p>
          <w:p>
            <w:pPr>
              <w:pStyle w:val="BodyText"/>
              <w:spacing w:after="60"/>
            </w:pPr>
            <w:r>
              <w:t>Before choosing tools, write one sentence about what the event is, one about what it is not, and three reasons anyone may stop. That is the practical final lesson in this fictional conversation about community repair-clinic planning.</w:t>
            </w:r>
          </w:p>
          <w:p>
            <w:pPr>
              <w:spacing w:after="0"/>
            </w:pPr>
            <w:r>
              <w:rPr>
                <w:b/>
                <w:color w:val="148F8B"/>
                <w:sz w:val="15"/>
              </w:rPr>
              <w:t>Sources: TS-23</w:t>
            </w:r>
          </w:p>
        </w:tc>
        <w:trPr>
          <w:tblHeader/>
        </w:trPr>
      </w:tr>
    </w:tbl>
    <w:p>
      <w:pPr>
        <w:spacing w:after="20"/>
      </w:pP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08</w:t>
            </w:r>
          </w:p>
        </w:tc>
        <w:tc>
          <w:tcPr>
            <w:tcW w:type="dxa" w:w="5083"/>
            <w:shd w:fill="142D3B"/>
            <w:tcMar>
              <w:top w:w="100" w:type="dxa"/>
              <w:start w:w="170" w:type="dxa"/>
              <w:bottom w:w="100" w:type="dxa"/>
              <w:end w:w="170" w:type="dxa"/>
            </w:tcMar>
          </w:tcPr>
          <w:p>
            <w:r>
              <w:rPr>
                <w:b/>
                <w:color w:val="FFFFFF"/>
                <w:sz w:val="20"/>
              </w:rPr>
              <w:t>BIO + RESOURCES</w:t>
            </w:r>
            <w:r>
              <w:rPr>
                <w:i/>
                <w:color w:val="DDF1ED"/>
                <w:sz w:val="17"/>
              </w:rPr>
              <w:t xml:space="preserve">  ·  verified intake fields only</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SPEAKER BIO BLOCK</w:t>
            </w:r>
          </w:p>
          <w:p>
            <w:pPr>
              <w:pStyle w:val="BodyText"/>
              <w:spacing w:after="60"/>
            </w:pPr>
            <w:r>
              <w:t>Samir Patel is the fictional volunteer coordinator at Juniper Street Repair Circle, where he coordinates the welcome desk, volunteer schedule, and end-of-event review for a fictional monthly repair clinic. Nora Bell hosts the fictional series Small Systems, Human Scale, which explores repeatable systems for small community projects.</w:t>
            </w:r>
          </w:p>
          <w:p>
            <w:pPr>
              <w:spacing w:after="0"/>
            </w:pPr>
            <w:r>
              <w:rPr>
                <w:b/>
                <w:color w:val="148F8B"/>
                <w:sz w:val="15"/>
              </w:rPr>
              <w:t>Sources: VF-01, VF-02, VF-03</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FICTIONAL ONE-PAGE EVENT WORKSHEET</w:t>
            </w:r>
          </w:p>
          <w:p>
            <w:pPr>
              <w:pStyle w:val="BodyText"/>
              <w:spacing w:after="60"/>
            </w:pPr>
            <w:r>
              <w:t>https://example.com/juniper-repair-worksheet</w:t>
            </w:r>
          </w:p>
          <w:p>
            <w:pPr>
              <w:spacing w:after="0"/>
            </w:pPr>
            <w:r>
              <w:rPr>
                <w:b/>
                <w:color w:val="148F8B"/>
                <w:sz w:val="15"/>
              </w:rPr>
              <w:t>Sources: VF-04, TS-24</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SPONSOR DISCLOSURE</w:t>
            </w:r>
          </w:p>
          <w:p>
            <w:pPr>
              <w:pStyle w:val="BodyText"/>
              <w:spacing w:after="60"/>
            </w:pPr>
            <w:r>
              <w:t>No sponsor, affiliate link, or paid placement.</w:t>
            </w:r>
          </w:p>
          <w:p>
            <w:pPr>
              <w:spacing w:after="0"/>
            </w:pPr>
            <w:r>
              <w:rPr>
                <w:b/>
                <w:color w:val="148F8B"/>
                <w:sz w:val="15"/>
              </w:rPr>
              <w:t>Sources: VF-05, TS-02</w:t>
            </w:r>
          </w:p>
        </w:tc>
        <w:trPr>
          <w:tblHeader/>
        </w:trPr>
      </w:tr>
    </w:tbl>
    <w:p>
      <w:pPr>
        <w:spacing w:after="20"/>
      </w:pPr>
    </w:p>
    <w:p>
      <w:pPr>
        <w:pStyle w:val="Heading2"/>
        <w:keepNext/>
      </w:pPr>
      <w:r>
        <w:t>Source facts used</w:t>
      </w:r>
    </w:p>
    <w:p>
      <w:pPr>
        <w:pStyle w:val="ListBullet"/>
        <w:spacing w:after="60"/>
      </w:pPr>
      <w:r>
        <w:rPr>
          <w:b/>
          <w:color w:val="148F8B"/>
        </w:rPr>
        <w:t xml:space="preserve">VF-01  </w:t>
      </w:r>
      <w:r>
        <w:t>Nora Bell hosts the fictional series Small Systems, Human Scale.</w:t>
      </w:r>
    </w:p>
    <w:p>
      <w:pPr>
        <w:pStyle w:val="ListBullet"/>
        <w:spacing w:after="60"/>
      </w:pPr>
      <w:r>
        <w:rPr>
          <w:b/>
          <w:color w:val="148F8B"/>
        </w:rPr>
        <w:t xml:space="preserve">VF-02  </w:t>
      </w:r>
      <w:r>
        <w:t>Samir Patel is the fictional volunteer coordinator at Juniper Street Repair Circle.</w:t>
      </w:r>
    </w:p>
    <w:p>
      <w:pPr>
        <w:pStyle w:val="ListBullet"/>
        <w:spacing w:after="60"/>
      </w:pPr>
      <w:r>
        <w:rPr>
          <w:b/>
          <w:color w:val="148F8B"/>
        </w:rPr>
        <w:t xml:space="preserve">VF-03  </w:t>
      </w:r>
      <w:r>
        <w:t>Juniper Street Repair Circle is a fictional volunteer-run monthly repair clinic.</w:t>
      </w:r>
    </w:p>
    <w:p>
      <w:pPr>
        <w:pStyle w:val="ListBullet"/>
        <w:spacing w:after="60"/>
      </w:pPr>
      <w:r>
        <w:rPr>
          <w:b/>
          <w:color w:val="148F8B"/>
        </w:rPr>
        <w:t xml:space="preserve">VF-04  </w:t>
      </w:r>
      <w:r>
        <w:t>https://example.com/juniper-repair-worksheet</w:t>
      </w:r>
    </w:p>
    <w:p>
      <w:pPr>
        <w:pStyle w:val="ListBullet"/>
        <w:spacing w:after="60"/>
      </w:pPr>
      <w:r>
        <w:rPr>
          <w:b/>
          <w:color w:val="148F8B"/>
        </w:rPr>
        <w:t xml:space="preserve">VF-05  </w:t>
      </w:r>
      <w:r>
        <w:t>This fictional episode has no sponsor, affiliate link, or paid placement.</w:t>
      </w:r>
    </w:p>
    <w:p>
      <w:pPr>
        <w:pStyle w:val="ListBullet"/>
        <w:spacing w:after="60"/>
      </w:pPr>
      <w:r>
        <w:rPr>
          <w:b/>
          <w:color w:val="148F8B"/>
        </w:rPr>
        <w:t xml:space="preserve">VF-06  </w:t>
      </w:r>
      <w:r>
        <w:t>The fictional clinic runs on the second Saturday of each month from 10:00 a.m. to 1:00 p.m.</w:t>
      </w:r>
    </w:p>
    <w:p>
      <w:pPr>
        <w:pStyle w:val="ListBullet"/>
        <w:spacing w:after="60"/>
      </w:pPr>
      <w:r>
        <w:rPr>
          <w:b/>
          <w:color w:val="148F8B"/>
        </w:rPr>
        <w:t xml:space="preserve">VF-07  </w:t>
      </w:r>
      <w:r>
        <w:t>The fictional clinic declines mains-voltage appliances, fuel systems, swollen batteries, and any item a volunteer considers unsafe.</w:t>
      </w:r>
    </w:p>
    <w:p>
      <w:pPr>
        <w:pStyle w:val="ListBullet"/>
        <w:spacing w:after="60"/>
      </w:pPr>
      <w:r>
        <w:rPr>
          <w:b/>
          <w:color w:val="148F8B"/>
        </w:rPr>
        <w:t xml:space="preserve">VF-08  </w:t>
      </w:r>
      <w:r>
        <w:t>The fictional clinic offers chairs, a quiet waiting corner, large-print intake cards, and step-free access.</w:t>
      </w: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09</w:t>
            </w:r>
          </w:p>
        </w:tc>
        <w:tc>
          <w:tcPr>
            <w:tcW w:type="dxa" w:w="5083"/>
            <w:shd w:fill="142D3B"/>
            <w:tcMar>
              <w:top w:w="100" w:type="dxa"/>
              <w:start w:w="170" w:type="dxa"/>
              <w:bottom w:w="100" w:type="dxa"/>
              <w:end w:w="170" w:type="dxa"/>
            </w:tcMar>
          </w:tcPr>
          <w:p>
            <w:r>
              <w:rPr>
                <w:b/>
                <w:color w:val="FFFFFF"/>
                <w:sz w:val="20"/>
              </w:rPr>
              <w:t>ASSUMPTIONS + VERIFICATION</w:t>
            </w:r>
            <w:r>
              <w:rPr>
                <w:i/>
                <w:color w:val="DDF1ED"/>
                <w:sz w:val="17"/>
              </w:rPr>
              <w:t xml:space="preserve">  ·  blocking publication review</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AO-01  /  ASSUMPTION</w:t>
            </w:r>
          </w:p>
          <w:p>
            <w:pPr>
              <w:pStyle w:val="BodyText"/>
              <w:spacing w:after="60"/>
            </w:pPr>
            <w:r>
              <w:t>The publication destination is treated as platform-neutral; no channel-specific character limit or formatting rule was supplied.</w:t>
              <w:br/>
              <w:br/>
              <w:t>Action: Buyer must adapt copy to the selected platform before publishing.</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AO-02  /  OMISSION</w:t>
            </w:r>
          </w:p>
          <w:p>
            <w:pPr>
              <w:pStyle w:val="BodyText"/>
              <w:spacing w:after="60"/>
            </w:pPr>
            <w:r>
              <w:t>No repair count, diversion estimate, attendance figure, volunteer credential, insurance statement, or environmental impact metric is used.</w:t>
              <w:br/>
              <w:br/>
              <w:t>Action: Omitted because the source does not verify those claims.</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E99746"/>
                <w:sz w:val="22"/>
              </w:rPr>
              <w:t>AO-03  /  BOUNDARY</w:t>
            </w:r>
          </w:p>
          <w:p>
            <w:pPr>
              <w:pStyle w:val="BodyText"/>
              <w:spacing w:after="60"/>
            </w:pPr>
            <w:r>
              <w:t>The pack describes event operations only and does not provide repair, electrical, battery, safety, insurance, or legal guidance.</w:t>
              <w:br/>
              <w:br/>
              <w:t>Action: Retain the limitation wherever the episode is published.</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E99746"/>
                <w:sz w:val="22"/>
              </w:rPr>
              <w:t>AO-04  /  DISCLOSURE</w:t>
            </w:r>
          </w:p>
          <w:p>
            <w:pPr>
              <w:pStyle w:val="BodyText"/>
              <w:spacing w:after="60"/>
            </w:pPr>
            <w:r>
              <w:t>The source and all outputs are fictional portfolio demonstrations created with AI-assisted drafting and human QA.</w:t>
              <w:br/>
              <w:br/>
              <w:t>Action: Do not represent any person, group, recording, or event as real.</w:t>
            </w:r>
          </w:p>
        </w:tc>
        <w:trPr>
          <w:tblHeader/>
        </w:trPr>
      </w:tr>
    </w:tbl>
    <w:p>
      <w:pPr>
        <w:spacing w:after="20"/>
      </w:pP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148F8B"/>
                <w:sz w:val="22"/>
              </w:rPr>
              <w:t>AO-05  /  VERIFICATION</w:t>
            </w:r>
          </w:p>
          <w:p>
            <w:pPr>
              <w:pStyle w:val="BodyText"/>
              <w:spacing w:after="60"/>
            </w:pPr>
            <w:r>
              <w:t>Names, quotations, timestamps, links, sponsorship language, accessibility statements, and destination requirements require buyer verification before publication.</w:t>
              <w:br/>
              <w:br/>
              <w:t>Action: Complete final editorial and policy review before any real use.</w:t>
            </w:r>
          </w:p>
        </w:tc>
        <w:trPr>
          <w:tblHeader/>
        </w:trPr>
      </w:tr>
    </w:tbl>
    <w:p>
      <w:pPr>
        <w:spacing w:after="20"/>
      </w:pPr>
    </w:p>
    <w:p>
      <w:r>
        <w:br w:type="page"/>
      </w:r>
    </w:p>
    <w:tbl>
      <w:tblPr>
        <w:tblW w:type="auto" w:w="0"/>
        <w:jc w:val="left"/>
        <w:tblLayout w:type="fixed"/>
        <w:tblLook w:firstColumn="1" w:firstRow="1" w:lastColumn="0" w:lastRow="0" w:noHBand="0" w:noVBand="1" w:val="04A0"/>
      </w:tblPr>
      <w:tblGrid>
        <w:gridCol w:w="792"/>
        <w:gridCol w:w="9288"/>
      </w:tblGrid>
      <w:tr>
        <w:tc>
          <w:tcPr>
            <w:tcW w:type="dxa" w:w="5083"/>
            <w:shd w:fill="E99746"/>
            <w:tcMar>
              <w:top w:w="100" w:type="dxa"/>
              <w:start w:w="100" w:type="dxa"/>
              <w:bottom w:w="100" w:type="dxa"/>
              <w:end w:w="100" w:type="dxa"/>
            </w:tcMar>
          </w:tcPr>
          <w:p>
            <w:pPr>
              <w:jc w:val="center"/>
            </w:pPr>
            <w:r>
              <w:rPr>
                <w:b/>
                <w:color w:val="142D3B"/>
                <w:sz w:val="20"/>
              </w:rPr>
              <w:t>10</w:t>
            </w:r>
          </w:p>
        </w:tc>
        <w:tc>
          <w:tcPr>
            <w:tcW w:type="dxa" w:w="5083"/>
            <w:shd w:fill="142D3B"/>
            <w:tcMar>
              <w:top w:w="100" w:type="dxa"/>
              <w:start w:w="170" w:type="dxa"/>
              <w:bottom w:w="100" w:type="dxa"/>
              <w:end w:w="170" w:type="dxa"/>
            </w:tcMar>
          </w:tcPr>
          <w:p>
            <w:r>
              <w:rPr>
                <w:b/>
                <w:color w:val="FFFFFF"/>
                <w:sz w:val="20"/>
              </w:rPr>
              <w:t>BUYER VERIFICATION</w:t>
            </w:r>
            <w:r>
              <w:rPr>
                <w:i/>
                <w:color w:val="DDF1ED"/>
                <w:sz w:val="17"/>
              </w:rPr>
              <w:t xml:space="preserve">  ·  complete before publishing</w:t>
            </w:r>
          </w:p>
        </w:tc>
        <w:trPr>
          <w:tblHeader/>
        </w:trPr>
      </w:tr>
    </w:tbl>
    <w:p>
      <w:pPr>
        <w:spacing w:after="20"/>
      </w:pPr>
    </w:p>
    <w:p>
      <w:pPr>
        <w:pStyle w:val="Heading2"/>
        <w:keepNext/>
      </w:pPr>
      <w:r>
        <w:t>Buyer verification checklist</w:t>
      </w:r>
    </w:p>
    <w:p>
      <w:pPr>
        <w:pStyle w:val="ListBullet"/>
        <w:spacing w:after="80"/>
      </w:pPr>
      <w:r>
        <w:rPr>
          <w:b/>
        </w:rPr>
        <w:t xml:space="preserve">VERIFY  </w:t>
      </w:r>
      <w:r>
        <w:t>Names, roles, bios, organization, and episode identity</w:t>
      </w:r>
    </w:p>
    <w:p>
      <w:pPr>
        <w:pStyle w:val="ListBullet"/>
        <w:spacing w:after="80"/>
      </w:pPr>
      <w:r>
        <w:rPr>
          <w:b/>
        </w:rPr>
        <w:t xml:space="preserve">VERIFY  </w:t>
      </w:r>
      <w:r>
        <w:t>Every direct quotation and timestamp against the final recording</w:t>
      </w:r>
    </w:p>
    <w:p>
      <w:pPr>
        <w:pStyle w:val="ListBullet"/>
        <w:spacing w:after="80"/>
      </w:pPr>
      <w:r>
        <w:rPr>
          <w:b/>
        </w:rPr>
        <w:t xml:space="preserve">VERIFY  </w:t>
      </w:r>
      <w:r>
        <w:t>CTA URL, resource labels, sponsor and affiliate disclosures</w:t>
      </w:r>
    </w:p>
    <w:p>
      <w:pPr>
        <w:pStyle w:val="ListBullet"/>
        <w:spacing w:after="80"/>
      </w:pPr>
      <w:r>
        <w:rPr>
          <w:b/>
        </w:rPr>
        <w:t xml:space="preserve">VERIFY  </w:t>
      </w:r>
      <w:r>
        <w:t>Destination-specific length, disclosure, accessibility, and formatting rules</w:t>
      </w:r>
    </w:p>
    <w:p>
      <w:pPr>
        <w:pStyle w:val="ListBullet"/>
        <w:spacing w:after="80"/>
      </w:pPr>
      <w:r>
        <w:rPr>
          <w:b/>
        </w:rPr>
        <w:t xml:space="preserve">VERIFY  </w:t>
      </w:r>
      <w:r>
        <w:t>Venue, volunteer, insurance, safety, and local requirements before adapting the workflow</w:t>
      </w:r>
    </w:p>
    <w:p>
      <w:pPr>
        <w:pStyle w:val="ListBullet"/>
        <w:spacing w:after="80"/>
      </w:pPr>
      <w:r>
        <w:rPr>
          <w:b/>
        </w:rPr>
        <w:t xml:space="preserve">VERIFY  </w:t>
      </w:r>
      <w:r>
        <w:t>Fictional-demo and AI-assisted processing disclosure in any portfolio use</w:t>
      </w:r>
    </w:p>
    <w:tbl>
      <w:tblPr>
        <w:tblW w:type="auto" w:w="0"/>
        <w:jc w:val="left"/>
        <w:tblLook w:firstColumn="1" w:firstRow="1" w:lastColumn="0" w:lastRow="0" w:noHBand="0" w:noVBand="1" w:val="04A0"/>
      </w:tblPr>
      <w:tblGrid>
        <w:gridCol w:w="10166"/>
      </w:tblGrid>
      <w:tr>
        <w:tc>
          <w:tcPr>
            <w:tcW w:type="dxa" w:w="10166"/>
            <w:shd w:fill="EEF4F3"/>
            <w:tcMar>
              <w:top w:w="140" w:type="dxa"/>
              <w:start w:w="180" w:type="dxa"/>
              <w:bottom w:w="140" w:type="dxa"/>
              <w:end w:w="180" w:type="dxa"/>
            </w:tcMar>
          </w:tcPr>
          <w:p>
            <w:pPr>
              <w:spacing w:after="60"/>
            </w:pPr>
            <w:r>
              <w:rPr>
                <w:b/>
                <w:color w:val="A33B3B"/>
                <w:sz w:val="22"/>
              </w:rPr>
              <w:t>DELIVERY BOUNDARY</w:t>
            </w:r>
          </w:p>
          <w:p>
            <w:pPr>
              <w:pStyle w:val="BodyText"/>
              <w:spacing w:after="60"/>
            </w:pPr>
            <w:r>
              <w:t>This pack prepares exported copy only. It does not transcribe, repair a transcript, edit or render media, create clips, access an account, upload, schedule, publish, clear rights, or guarantee engagement.</w:t>
            </w:r>
          </w:p>
        </w:tc>
        <w:trPr>
          <w:tblHeader/>
        </w:trPr>
      </w:tr>
    </w:tbl>
    <w:p>
      <w:pPr>
        <w:spacing w:after="20"/>
      </w:pPr>
    </w:p>
    <w:sectPr>
      <w:headerReference w:type="default" r:id="rId9"/>
      <w:footerReference w:type="default" r:id="rId10"/>
      <w:pgSz w:w="12240" w:h="15840"/>
      <w:pgMar w:top="936" w:right="1037" w:bottom="936"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D6A70"/>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ptos" w:hAnsi="Aptos"/>
        <w:b/>
        <w:color w:val="148F8B"/>
        <w:sz w:val="16"/>
      </w:rPr>
      <w:t>BEFORE TOMORROW STUDIO   /   FICTIONAL DEMO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4343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ptos Display" w:hAnsi="Aptos Display"/>
      <w:b/>
      <w:bCs/>
      <w:color w:val="142D3B"/>
      <w:sz w:val="40"/>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w:hAnsi="Aptos"/>
      <w:b/>
      <w:bCs/>
      <w:color w:val="148F8B"/>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w:hAnsi="Aptos"/>
      <w:b/>
      <w:bCs/>
      <w:color w:val="142D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ptos Display" w:hAnsi="Aptos Display"/>
      <w:b/>
      <w:color w:val="142D3B"/>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40"/>
    </w:pPr>
    <w:rPr>
      <w:rFonts w:ascii="Aptos" w:hAnsi="Aptos"/>
      <w:color w:val="24343D"/>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Episode Repurpose Rescue — Fictional Demo</dc:title>
  <dc:subject>Source-grounded podcast repurposing portfolio demonstration</dc:subject>
  <dc:creator/>
  <cp:keywords>fictional demo, podcast, show notes, chapters, source traceability</cp:keywords>
  <dc:description>Fictional demo. AI-assisted drafting with human review.</dc:description>
  <cp:lastModifiedBy/>
  <cp:revision>1</cp:revision>
  <dcterms:created xsi:type="dcterms:W3CDTF">2013-12-23T23:15:00Z</dcterms:created>
  <dcterms:modified xsi:type="dcterms:W3CDTF">2013-12-23T23:15:00Z</dcterms:modified>
  <cp:category/>
</cp:coreProperties>
</file>