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40"/>
      </w:pPr>
      <w:r>
        <w:rPr>
          <w:rFonts w:ascii="Calibri" w:hAnsi="Calibri"/>
          <w:b/>
          <w:color w:val="A66A2C"/>
          <w:sz w:val="20"/>
        </w:rPr>
        <w:t>CUSTOMER HANDOFF PACK</w:t>
      </w:r>
    </w:p>
    <w:p>
      <w:pPr>
        <w:spacing w:after="120"/>
      </w:pPr>
      <w:r>
        <w:rPr>
          <w:rFonts w:ascii="Calibri" w:hAnsi="Calibri"/>
          <w:b/>
          <w:color w:val="19324A"/>
          <w:sz w:val="60"/>
        </w:rPr>
        <w:t>Homepage Copy Rescue</w:t>
      </w:r>
    </w:p>
    <w:p>
      <w:pPr>
        <w:spacing w:after="280"/>
      </w:pPr>
      <w:r>
        <w:rPr>
          <w:rFonts w:ascii="Calibri" w:hAnsi="Calibri"/>
          <w:color w:val="5A6670"/>
          <w:sz w:val="27"/>
        </w:rPr>
        <w:t>Clearstead Home Organizing - fictional demonstration</w:t>
      </w:r>
    </w:p>
    <w:tbl>
      <w:tblPr>
        <w:tblW w:type="dxa" w:w="9360"/>
        <w:tblLayout w:type="fixed"/>
        <w:tblLook w:firstColumn="1" w:firstRow="1" w:lastColumn="0" w:lastRow="0" w:noHBand="0" w:noVBand="1" w:val="04A0"/>
        <w:tblInd w:w="120" w:type="dxa"/>
      </w:tblPr>
      <w:tblGrid>
        <w:gridCol w:w="4680"/>
        <w:gridCol w:w="4680"/>
      </w:tblGrid>
      <w:tr>
        <w:trPr>
          <w:tblHeader w:val="true"/>
        </w:trPr>
        <w:tc>
          <w:tcPr>
            <w:tcW w:type="dxa" w:w="4680"/>
            <w:tcMar>
              <w:top w:w="80" w:type="dxa"/>
              <w:start w:w="120" w:type="dxa"/>
              <w:bottom w:w="80" w:type="dxa"/>
              <w:end w:w="120" w:type="dxa"/>
            </w:tcMar>
            <w:vAlign w:val="center"/>
            <w:shd w:fill="E8F1F4"/>
          </w:tcPr>
          <w:p>
            <w:pPr>
              <w:spacing w:before="0" w:after="0"/>
            </w:pPr>
            <w:r/>
            <w:r>
              <w:rPr>
                <w:rFonts w:ascii="Calibri" w:hAnsi="Calibri"/>
                <w:b/>
                <w:color w:val="2E6F7E"/>
                <w:sz w:val="17"/>
              </w:rPr>
              <w:t>Scope</w:t>
              <w:br/>
            </w:r>
            <w:r>
              <w:rPr>
                <w:rFonts w:ascii="Calibri" w:hAnsi="Calibri"/>
                <w:color w:val="1F2933"/>
                <w:sz w:val="19"/>
              </w:rPr>
              <w:t>One homepage | 700-1,100 words</w:t>
            </w:r>
          </w:p>
        </w:tc>
        <w:tc>
          <w:tcPr>
            <w:tcW w:type="dxa" w:w="4680"/>
            <w:tcMar>
              <w:top w:w="80" w:type="dxa"/>
              <w:start w:w="120" w:type="dxa"/>
              <w:bottom w:w="80" w:type="dxa"/>
              <w:end w:w="120" w:type="dxa"/>
            </w:tcMar>
            <w:vAlign w:val="center"/>
            <w:shd w:fill="F3F5F6"/>
          </w:tcPr>
          <w:p>
            <w:pPr>
              <w:spacing w:before="0" w:after="0"/>
            </w:pPr>
            <w:r/>
            <w:r>
              <w:rPr>
                <w:rFonts w:ascii="Calibri" w:hAnsi="Calibri"/>
                <w:b/>
                <w:color w:val="2E6F7E"/>
                <w:sz w:val="17"/>
              </w:rPr>
              <w:t>Source model</w:t>
              <w:br/>
            </w:r>
            <w:r>
              <w:rPr>
                <w:rFonts w:ascii="Calibri" w:hAnsi="Calibri"/>
                <w:color w:val="1F2933"/>
                <w:sz w:val="19"/>
              </w:rPr>
              <w:t>5 fictional sources | 28 approved facts</w:t>
            </w:r>
          </w:p>
        </w:tc>
      </w:tr>
      <w:tr>
        <w:tc>
          <w:tcPr>
            <w:tcW w:type="dxa" w:w="4680"/>
            <w:tcMar>
              <w:top w:w="80" w:type="dxa"/>
              <w:start w:w="120" w:type="dxa"/>
              <w:bottom w:w="80" w:type="dxa"/>
              <w:end w:w="120" w:type="dxa"/>
            </w:tcMar>
            <w:vAlign w:val="center"/>
            <w:shd w:fill="E8F1F4"/>
          </w:tcPr>
          <w:p>
            <w:pPr>
              <w:spacing w:before="0" w:after="0"/>
            </w:pPr>
            <w:r/>
            <w:r>
              <w:rPr>
                <w:rFonts w:ascii="Calibri" w:hAnsi="Calibri"/>
                <w:b/>
                <w:color w:val="2E6F7E"/>
                <w:sz w:val="17"/>
              </w:rPr>
              <w:t>Handoff</w:t>
              <w:br/>
            </w:r>
            <w:r>
              <w:rPr>
                <w:rFonts w:ascii="Calibri" w:hAnsi="Calibri"/>
                <w:color w:val="1F2933"/>
                <w:sz w:val="19"/>
              </w:rPr>
              <w:t>DOCX + Markdown + ledger + log</w:t>
            </w:r>
          </w:p>
        </w:tc>
        <w:tc>
          <w:tcPr>
            <w:tcW w:type="dxa" w:w="4680"/>
            <w:tcMar>
              <w:top w:w="80" w:type="dxa"/>
              <w:start w:w="120" w:type="dxa"/>
              <w:bottom w:w="80" w:type="dxa"/>
              <w:end w:w="120" w:type="dxa"/>
            </w:tcMar>
            <w:vAlign w:val="center"/>
            <w:shd w:fill="F3F5F6"/>
          </w:tcPr>
          <w:p>
            <w:pPr>
              <w:spacing w:before="0" w:after="0"/>
            </w:pPr>
            <w:r/>
            <w:r>
              <w:rPr>
                <w:rFonts w:ascii="Calibri" w:hAnsi="Calibri"/>
                <w:b/>
                <w:color w:val="2E6F7E"/>
                <w:sz w:val="17"/>
              </w:rPr>
              <w:t>Review state</w:t>
              <w:br/>
            </w:r>
            <w:r>
              <w:rPr>
                <w:rFonts w:ascii="Calibri" w:hAnsi="Calibri"/>
                <w:color w:val="1F2933"/>
                <w:sz w:val="19"/>
              </w:rPr>
              <w:t>35/35 claim mappings supported</w:t>
            </w:r>
          </w:p>
        </w:tc>
      </w:tr>
    </w:tbl>
    <w:p>
      <w:pPr>
        <w:spacing w:after="0"/>
      </w:pPr>
    </w:p>
    <w:tbl>
      <w:tblPr>
        <w:tblW w:type="dxa" w:w="9360"/>
        <w:tblLayout w:type="fixed"/>
        <w:tblLook w:firstColumn="1" w:firstRow="1" w:lastColumn="0" w:lastRow="0" w:noHBand="0" w:noVBand="1" w:val="04A0"/>
        <w:tblInd w:w="120" w:type="dxa"/>
      </w:tblPr>
      <w:tblGrid>
        <w:gridCol w:w="9360"/>
      </w:tblGrid>
      <w:tr>
        <w:trPr>
          <w:tblHeader w:val="true"/>
        </w:trPr>
        <w:tc>
          <w:tcPr>
            <w:tcW w:type="dxa" w:w="9360"/>
            <w:tcMar>
              <w:top w:w="80" w:type="dxa"/>
              <w:start w:w="120" w:type="dxa"/>
              <w:bottom w:w="80" w:type="dxa"/>
              <w:end w:w="120" w:type="dxa"/>
            </w:tcMar>
            <w:vAlign w:val="center"/>
            <w:shd w:fill="FFF5E7"/>
          </w:tcPr>
          <w:p>
            <w:pPr>
              <w:spacing w:before="0" w:after="0" w:line="259" w:lineRule="auto"/>
              <w:jc w:val="left"/>
            </w:pPr>
            <w:r/>
            <w:r>
              <w:rPr>
                <w:rFonts w:ascii="Calibri" w:hAnsi="Calibri"/>
                <w:b/>
                <w:color w:val="A66A2C"/>
                <w:sz w:val="19"/>
              </w:rPr>
              <w:t>FICTIONAL DEMO - NOT A REAL BUSINESS OR CUSTOMER. All facts, prices, policies, and image descriptions were created solely for this proof bundle.</w:t>
            </w:r>
          </w:p>
        </w:tc>
      </w:tr>
    </w:tbl>
    <w:p>
      <w:pPr>
        <w:spacing w:after="0"/>
      </w:pPr>
    </w:p>
    <w:p>
      <w:pPr>
        <w:pStyle w:val="Heading1"/>
      </w:pPr>
      <w:r>
        <w:t>Editorial SEO drafts</w:t>
      </w:r>
    </w:p>
    <w:tbl>
      <w:tblPr>
        <w:tblW w:type="dxa" w:w="9360"/>
        <w:tblLayout w:type="fixed"/>
        <w:tblLook w:firstColumn="1" w:firstRow="1" w:lastColumn="0" w:lastRow="0" w:noHBand="0" w:noVBand="1" w:val="04A0"/>
        <w:tblInd w:w="120" w:type="dxa"/>
      </w:tblPr>
      <w:tblGrid>
        <w:gridCol w:w="1875"/>
        <w:gridCol w:w="7485"/>
      </w:tblGrid>
      <w:tr>
        <w:trPr>
          <w:tblHeader w:val="true"/>
        </w:trPr>
        <w:tc>
          <w:tcPr>
            <w:tcW w:type="dxa" w:w="1875"/>
            <w:tcMar>
              <w:top w:w="80" w:type="dxa"/>
              <w:start w:w="120" w:type="dxa"/>
              <w:bottom w:w="80" w:type="dxa"/>
              <w:end w:w="120" w:type="dxa"/>
            </w:tcMar>
            <w:vAlign w:val="center"/>
            <w:shd w:fill="E8F1F4"/>
          </w:tcPr>
          <w:p>
            <w:pPr>
              <w:spacing w:before="0" w:after="0" w:line="259" w:lineRule="auto"/>
              <w:jc w:val="left"/>
            </w:pPr>
            <w:r/>
            <w:r>
              <w:rPr>
                <w:rFonts w:ascii="Calibri" w:hAnsi="Calibri"/>
                <w:b/>
                <w:color w:val="2E6F7E"/>
                <w:sz w:val="18"/>
              </w:rPr>
              <w:t>SEO title - 49 chars</w:t>
            </w:r>
          </w:p>
        </w:tc>
        <w:tc>
          <w:tcPr>
            <w:tcW w:type="dxa" w:w="7485"/>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9"/>
              </w:rPr>
              <w:t>Clearstead Home Organizing | Raleigh, Cary &amp; Apex</w:t>
            </w:r>
          </w:p>
        </w:tc>
      </w:tr>
      <w:tr>
        <w:tc>
          <w:tcPr>
            <w:tcW w:type="dxa" w:w="1875"/>
            <w:tcMar>
              <w:top w:w="80" w:type="dxa"/>
              <w:start w:w="120" w:type="dxa"/>
              <w:bottom w:w="80" w:type="dxa"/>
              <w:end w:w="120" w:type="dxa"/>
            </w:tcMar>
            <w:vAlign w:val="center"/>
            <w:shd w:fill="E8F1F4"/>
          </w:tcPr>
          <w:p>
            <w:pPr>
              <w:spacing w:before="0" w:after="0" w:line="259" w:lineRule="auto"/>
              <w:jc w:val="left"/>
            </w:pPr>
            <w:r/>
            <w:r>
              <w:rPr>
                <w:rFonts w:ascii="Calibri" w:hAnsi="Calibri"/>
                <w:b/>
                <w:color w:val="2E6F7E"/>
                <w:sz w:val="18"/>
              </w:rPr>
              <w:t>Meta description - 140 chars</w:t>
            </w:r>
          </w:p>
        </w:tc>
        <w:tc>
          <w:tcPr>
            <w:tcW w:type="dxa" w:w="7485"/>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9"/>
              </w:rPr>
              <w:t>Practical home organizing for pantries, closets, entryways, and move-ins in Raleigh, Cary, and Apex. Review the options and request a reset.</w:t>
            </w:r>
          </w:p>
        </w:tc>
      </w:tr>
    </w:tbl>
    <w:p>
      <w:pPr>
        <w:spacing w:before="80" w:after="160"/>
      </w:pPr>
      <w:r>
        <w:rPr>
          <w:rFonts w:ascii="Calibri" w:hAnsi="Calibri"/>
          <w:i/>
          <w:color w:val="5A6670"/>
          <w:sz w:val="18"/>
        </w:rPr>
        <w:t>Editorial drafts only - no keyword-volume research or ranking, traffic, lead, conversion, or sales promise.</w:t>
      </w:r>
    </w:p>
    <w:p>
      <w:pPr>
        <w:pStyle w:val="Heading1"/>
      </w:pPr>
      <w:r>
        <w:t>Homepage copy</w:t>
      </w:r>
    </w:p>
    <w:p>
      <w:pPr>
        <w:pStyle w:val="Heading1"/>
      </w:pPr>
      <w:r>
        <w:t>Hero</w:t>
      </w:r>
    </w:p>
    <w:p>
      <w:pPr>
        <w:spacing w:after="160"/>
      </w:pPr>
      <w:r>
        <w:rPr>
          <w:rFonts w:ascii="Calibri" w:hAnsi="Calibri"/>
          <w:b/>
          <w:color w:val="A66A2C"/>
          <w:sz w:val="21"/>
        </w:rPr>
        <w:t>Eyebrow</w:t>
      </w:r>
      <w:r>
        <w:rPr>
          <w:rFonts w:ascii="Calibri" w:hAnsi="Calibri"/>
          <w:b/>
          <w:color w:val="1F2933"/>
          <w:sz w:val="21"/>
        </w:rPr>
        <w:t>: Home organizing in Raleigh, Cary &amp; Apex</w:t>
      </w:r>
    </w:p>
    <w:p>
      <w:pPr>
        <w:keepNext/>
        <w:spacing w:before="40" w:after="200"/>
      </w:pPr>
      <w:r>
        <w:rPr>
          <w:rFonts w:ascii="Calibri" w:hAnsi="Calibri"/>
          <w:b/>
          <w:color w:val="19324A"/>
          <w:sz w:val="48"/>
        </w:rPr>
        <w:t>Make room for what you use.</w:t>
      </w:r>
    </w:p>
    <w:p>
      <w:pPr>
        <w:widowControl/>
      </w:pPr>
      <w:r>
        <w:rPr>
          <w:rFonts w:ascii="Calibri" w:hAnsi="Calibri"/>
          <w:color w:val="1F2933"/>
          <w:sz w:val="22"/>
        </w:rPr>
        <w:t>Clearstead Home Organizing offers owner-led help for households working through pantries, closets, entryways, and move-in unpacking in Raleigh, Cary, and Apex. Choose a focused three-hour reset, a six-hour move-in unpack, or a planning-only whole-home roadmap. You make every decision about what stays, moves, or leaves; the work is organized around those choices.</w:t>
      </w:r>
    </w:p>
    <w:p>
      <w:pPr>
        <w:spacing w:after="160"/>
      </w:pPr>
      <w:r>
        <w:rPr>
          <w:rFonts w:ascii="Calibri" w:hAnsi="Calibri"/>
          <w:b/>
          <w:color w:val="A66A2C"/>
          <w:sz w:val="21"/>
        </w:rPr>
        <w:t>Primary CTA</w:t>
      </w:r>
      <w:r>
        <w:rPr>
          <w:rFonts w:ascii="Calibri" w:hAnsi="Calibri"/>
          <w:b/>
          <w:color w:val="1F2933"/>
          <w:sz w:val="21"/>
        </w:rPr>
        <w:t>: Request a reset</w:t>
      </w:r>
    </w:p>
    <w:p>
      <w:pPr>
        <w:widowControl/>
      </w:pPr>
      <w:r>
        <w:rPr>
          <w:rFonts w:ascii="Calibri" w:hAnsi="Calibri"/>
          <w:color w:val="1F2933"/>
          <w:sz w:val="22"/>
        </w:rPr>
        <w:t>Tell us which spaces need attention, your service city, and a few preferred dates. Complete requests receive a reply within two business days. Submitting the form is a request, not a confirmed booking.</w:t>
      </w:r>
    </w:p>
    <w:p>
      <w:pPr>
        <w:pStyle w:val="Heading1"/>
      </w:pPr>
      <w:r>
        <w:t>Clear decisions. Useful systems. No pressure.</w:t>
      </w:r>
    </w:p>
    <w:p>
      <w:pPr>
        <w:widowControl/>
      </w:pPr>
      <w:r>
        <w:rPr>
          <w:rFonts w:ascii="Calibri" w:hAnsi="Calibri"/>
          <w:color w:val="1F2933"/>
          <w:sz w:val="22"/>
        </w:rPr>
        <w:t>Every accepted booking is led by the owner, from the first written scope through the included handoff. In-home sessions are limited to Raleigh, Cary, and Apex, with standard appointment hours Tuesday through Saturday from 9:00 a.m. to 4:00 p.m. Each service has a fixed starting scope and price, while any containers or extra supplies require your written approval.</w:t>
      </w:r>
    </w:p>
    <w:p>
      <w:pPr>
        <w:widowControl/>
      </w:pPr>
      <w:r>
        <w:rPr>
          <w:rFonts w:ascii="Calibri" w:hAnsi="Calibri"/>
          <w:color w:val="1F2933"/>
          <w:sz w:val="22"/>
        </w:rPr>
        <w:t>There is no pressure to remove an item. You decide what is kept, donated, recycled, relocated, or discarded, and nothing leaves without your approval.</w:t>
      </w:r>
    </w:p>
    <w:p>
      <w:pPr>
        <w:pStyle w:val="Heading1"/>
      </w:pPr>
      <w:r>
        <w:t>Choose the support that fits the space</w:t>
      </w:r>
    </w:p>
    <w:p>
      <w:pPr>
        <w:pStyle w:val="Heading2"/>
      </w:pPr>
      <w:r>
        <w:t>Reset Session - $325</w:t>
      </w:r>
    </w:p>
    <w:p>
      <w:pPr>
        <w:widowControl/>
      </w:pPr>
      <w:r>
        <w:rPr>
          <w:rFonts w:ascii="Calibri" w:hAnsi="Calibri"/>
          <w:color w:val="1F2933"/>
          <w:sz w:val="22"/>
        </w:rPr>
        <w:t>Start with one room or a clearly defined zone. During a session of up to three hours, we sort on site, establish categories, place the items you choose to keep, and prepare a written label list. You remain in charge of every decision about what leaves the space. If additional containers may help, we use existing storage first and discuss any purchase before it is made.</w:t>
      </w:r>
    </w:p>
    <w:p>
      <w:pPr>
        <w:spacing w:after="160"/>
      </w:pPr>
      <w:r>
        <w:rPr>
          <w:rFonts w:ascii="Calibri" w:hAnsi="Calibri"/>
          <w:b/>
          <w:color w:val="A66A2C"/>
          <w:sz w:val="21"/>
        </w:rPr>
        <w:t>Card CTA</w:t>
      </w:r>
      <w:r>
        <w:rPr>
          <w:rFonts w:ascii="Calibri" w:hAnsi="Calibri"/>
          <w:b/>
          <w:color w:val="1F2933"/>
          <w:sz w:val="21"/>
        </w:rPr>
        <w:t>: Request a Reset Session</w:t>
      </w:r>
    </w:p>
    <w:p>
      <w:pPr>
        <w:pStyle w:val="Heading2"/>
      </w:pPr>
      <w:r>
        <w:t>Move-In Unpack - $780</w:t>
      </w:r>
    </w:p>
    <w:p>
      <w:pPr>
        <w:widowControl/>
      </w:pPr>
      <w:r>
        <w:rPr>
          <w:rFonts w:ascii="Calibri" w:hAnsi="Calibri"/>
          <w:color w:val="1F2933"/>
          <w:sz w:val="22"/>
        </w:rPr>
        <w:t>Use one six-hour session to organize the kitchen, pantry, and primary closet during a move-in. The work uses existing storage first and any additional supplies require written approval. You receive same-day zone notes plus a supply list when additional supplies were discussed, giving you a clear record of the placement choices made during the session.</w:t>
      </w:r>
    </w:p>
    <w:p>
      <w:pPr>
        <w:spacing w:after="160"/>
      </w:pPr>
      <w:r>
        <w:rPr>
          <w:rFonts w:ascii="Calibri" w:hAnsi="Calibri"/>
          <w:b/>
          <w:color w:val="A66A2C"/>
          <w:sz w:val="21"/>
        </w:rPr>
        <w:t>Card CTA</w:t>
      </w:r>
      <w:r>
        <w:rPr>
          <w:rFonts w:ascii="Calibri" w:hAnsi="Calibri"/>
          <w:b/>
          <w:color w:val="1F2933"/>
          <w:sz w:val="21"/>
        </w:rPr>
        <w:t>: Ask about Move-In Unpack</w:t>
      </w:r>
    </w:p>
    <w:p>
      <w:pPr>
        <w:pStyle w:val="Heading2"/>
      </w:pPr>
      <w:r>
        <w:t>Whole-Home Roadmap - $240</w:t>
      </w:r>
    </w:p>
    <w:p>
      <w:pPr>
        <w:widowControl/>
      </w:pPr>
      <w:r>
        <w:rPr>
          <w:rFonts w:ascii="Calibri" w:hAnsi="Calibri"/>
          <w:color w:val="1F2933"/>
          <w:sz w:val="22"/>
        </w:rPr>
        <w:t>Begin with a 90-minute in-home walkthrough when you want a sequence before hands-on organizing. We review the spaces and priorities you identify, then deliver a written, prioritized plan within one business day. The Roadmap is a planning service; it does not include an organizing session, product purchases, cleaning, hauling, moving, interior design, or repairs.</w:t>
      </w:r>
    </w:p>
    <w:p>
      <w:pPr>
        <w:spacing w:after="160"/>
      </w:pPr>
      <w:r>
        <w:rPr>
          <w:rFonts w:ascii="Calibri" w:hAnsi="Calibri"/>
          <w:b/>
          <w:color w:val="A66A2C"/>
          <w:sz w:val="21"/>
        </w:rPr>
        <w:t>Card CTA</w:t>
      </w:r>
      <w:r>
        <w:rPr>
          <w:rFonts w:ascii="Calibri" w:hAnsi="Calibri"/>
          <w:b/>
          <w:color w:val="1F2933"/>
          <w:sz w:val="21"/>
        </w:rPr>
        <w:t>: Request a Whole-Home Roadmap</w:t>
      </w:r>
    </w:p>
    <w:p>
      <w:pPr>
        <w:pStyle w:val="Heading1"/>
      </w:pPr>
      <w:r>
        <w:t>How it works</w:t>
      </w:r>
    </w:p>
    <w:p>
      <w:pPr>
        <w:pStyle w:val="Heading2"/>
        <w:keepNext/>
        <w:numPr>
          <w:ilvl w:val="0"/>
          <w:numId w:val="10"/>
        </w:numPr>
      </w:pPr>
      <w:r>
        <w:rPr>
          <w:rFonts w:ascii="Calibri" w:hAnsi="Calibri"/>
          <w:b/>
          <w:color w:val="1F4D78"/>
          <w:sz w:val="24"/>
        </w:rPr>
        <w:t>Share the spaces and priorities</w:t>
      </w:r>
    </w:p>
    <w:p>
      <w:pPr>
        <w:widowControl/>
      </w:pPr>
      <w:r>
        <w:rPr>
          <w:rFonts w:ascii="Calibri" w:hAnsi="Calibri"/>
          <w:color w:val="1F2933"/>
          <w:sz w:val="22"/>
        </w:rPr>
        <w:t>Submit the inquiry form with the rooms or zones you want to address, your service city, the priorities you want considered, and a few preferred dates. The form is designed to establish fit without asking for account access or private customer information.</w:t>
      </w:r>
    </w:p>
    <w:p>
      <w:pPr>
        <w:pStyle w:val="Heading2"/>
        <w:keepNext/>
        <w:numPr>
          <w:ilvl w:val="0"/>
          <w:numId w:val="10"/>
        </w:numPr>
      </w:pPr>
      <w:r>
        <w:rPr>
          <w:rFonts w:ascii="Calibri" w:hAnsi="Calibri"/>
          <w:b/>
          <w:color w:val="1F4D78"/>
          <w:sz w:val="24"/>
        </w:rPr>
        <w:t>Confirm the fixed scope</w:t>
      </w:r>
    </w:p>
    <w:p>
      <w:pPr>
        <w:widowControl/>
      </w:pPr>
      <w:r>
        <w:rPr>
          <w:rFonts w:ascii="Calibri" w:hAnsi="Calibri"/>
          <w:color w:val="1F2933"/>
          <w:sz w:val="22"/>
        </w:rPr>
        <w:t>You receive a written reply confirming whether the request fits, the fixed service scope, and available appointment times. A submitted form is not a confirmed booking, so no appointment should be assumed until the time and scope are accepted in writing.</w:t>
      </w:r>
    </w:p>
    <w:p>
      <w:pPr>
        <w:pStyle w:val="Heading2"/>
        <w:keepNext/>
        <w:numPr>
          <w:ilvl w:val="0"/>
          <w:numId w:val="10"/>
        </w:numPr>
      </w:pPr>
      <w:r>
        <w:rPr>
          <w:rFonts w:ascii="Calibri" w:hAnsi="Calibri"/>
          <w:b/>
          <w:color w:val="1F4D78"/>
          <w:sz w:val="24"/>
        </w:rPr>
        <w:t>Work through the accepted plan</w:t>
      </w:r>
    </w:p>
    <w:p>
      <w:pPr>
        <w:widowControl/>
      </w:pPr>
      <w:r>
        <w:rPr>
          <w:rFonts w:ascii="Calibri" w:hAnsi="Calibri"/>
          <w:color w:val="1F2933"/>
          <w:sz w:val="22"/>
        </w:rPr>
        <w:t>Complete the accepted on-site session or walkthrough. Reset Session and Move-In Unpack clients receive same-day zone notes and, when supplies were discussed, a supply list. Whole-Home Roadmap clients receive the prioritized written plan within one business day after the walkthrough.</w:t>
      </w:r>
    </w:p>
    <w:p>
      <w:pPr>
        <w:pStyle w:val="Heading1"/>
      </w:pPr>
      <w:r>
        <w:t>Frequently asked questions</w:t>
      </w:r>
    </w:p>
    <w:p>
      <w:pPr>
        <w:pStyle w:val="Heading2"/>
      </w:pPr>
      <w:r>
        <w:t>Which areas do you serve?</w:t>
      </w:r>
    </w:p>
    <w:p>
      <w:pPr>
        <w:widowControl/>
      </w:pPr>
      <w:r>
        <w:rPr>
          <w:rFonts w:ascii="Calibri" w:hAnsi="Calibri"/>
          <w:color w:val="1F2933"/>
          <w:sz w:val="22"/>
        </w:rPr>
        <w:t>Clearstead provides in-home service in Raleigh, Cary, and Apex, North Carolina. Standard appointment hours are Tuesday through Saturday, 9:00 a.m. to 4:00 p.m. Use the inquiry form to share your city and preferred dates; submitting it does not confirm a booking.</w:t>
      </w:r>
    </w:p>
    <w:p>
      <w:pPr>
        <w:pStyle w:val="Heading2"/>
      </w:pPr>
      <w:r>
        <w:t>Do I need to buy containers first?</w:t>
      </w:r>
    </w:p>
    <w:p>
      <w:pPr>
        <w:widowControl/>
      </w:pPr>
      <w:r>
        <w:rPr>
          <w:rFonts w:ascii="Calibri" w:hAnsi="Calibri"/>
          <w:color w:val="1F2933"/>
          <w:sz w:val="22"/>
        </w:rPr>
        <w:t>No. Sessions use existing storage first. Containers and other supplies are not included in the service price, and no additional supply is purchased without your written approval.</w:t>
      </w:r>
    </w:p>
    <w:p>
      <w:pPr>
        <w:pStyle w:val="Heading2"/>
      </w:pPr>
      <w:r>
        <w:t>Can you take donations after the session?</w:t>
      </w:r>
    </w:p>
    <w:p>
      <w:pPr>
        <w:widowControl/>
      </w:pPr>
      <w:r>
        <w:rPr>
          <w:rFonts w:ascii="Calibri" w:hAnsi="Calibri"/>
          <w:color w:val="1F2933"/>
          <w:sz w:val="22"/>
        </w:rPr>
        <w:t>One optional donation drop-off of up to one standard carload is available within the service area when the selected local center is open and accepting the items. Hazardous materials, large furniture, and documents are excluded.</w:t>
      </w:r>
    </w:p>
    <w:p>
      <w:pPr>
        <w:pStyle w:val="Heading2"/>
      </w:pPr>
      <w:r>
        <w:t>What happens if I need to reschedule?</w:t>
      </w:r>
    </w:p>
    <w:p>
      <w:pPr>
        <w:widowControl/>
      </w:pPr>
      <w:r>
        <w:rPr>
          <w:rFonts w:ascii="Calibri" w:hAnsi="Calibri"/>
          <w:color w:val="1F2933"/>
          <w:sz w:val="22"/>
        </w:rPr>
        <w:t>One reschedule is available without a fee when you provide at least 24 hours' notice. With less notice, 50% of the booked service price remains due.</w:t>
      </w:r>
    </w:p>
    <w:p>
      <w:pPr>
        <w:pStyle w:val="Heading2"/>
      </w:pPr>
      <w:r>
        <w:t>Is cleaning or moving included?</w:t>
      </w:r>
    </w:p>
    <w:p>
      <w:pPr>
        <w:widowControl/>
      </w:pPr>
      <w:r>
        <w:rPr>
          <w:rFonts w:ascii="Calibri" w:hAnsi="Calibri"/>
          <w:color w:val="1F2933"/>
          <w:sz w:val="22"/>
        </w:rPr>
        <w:t>No. The service does not include cleaning, hauling, moving, interior design, repairs, or disposal of confidential documents. Pets must be secured away from the active work area during an in-home session.</w:t>
      </w:r>
    </w:p>
    <w:p>
      <w:pPr>
        <w:pStyle w:val="Heading1"/>
      </w:pPr>
      <w:r>
        <w:t>Start with one zone.</w:t>
      </w:r>
    </w:p>
    <w:p>
      <w:pPr>
        <w:widowControl/>
      </w:pPr>
      <w:r>
        <w:rPr>
          <w:rFonts w:ascii="Calibri" w:hAnsi="Calibri"/>
          <w:color w:val="1F2933"/>
          <w:sz w:val="22"/>
        </w:rPr>
        <w:t>Choose the room, move-in area, or planning question that needs a clear next step. Share the spaces, city, priorities, and preferred dates through the inquiry form. Clearstead will review the complete request and reply within two business days with fit, fixed scope, and offered appointment times.</w:t>
      </w:r>
    </w:p>
    <w:p>
      <w:pPr>
        <w:spacing w:after="160"/>
      </w:pPr>
      <w:r>
        <w:rPr>
          <w:rFonts w:ascii="Calibri" w:hAnsi="Calibri"/>
          <w:b/>
          <w:color w:val="A66A2C"/>
          <w:sz w:val="21"/>
        </w:rPr>
        <w:t>Final CTA</w:t>
      </w:r>
      <w:r>
        <w:rPr>
          <w:rFonts w:ascii="Calibri" w:hAnsi="Calibri"/>
          <w:b/>
          <w:color w:val="1F2933"/>
          <w:sz w:val="21"/>
        </w:rPr>
        <w:t>: Request a reset</w:t>
      </w:r>
    </w:p>
    <w:p>
      <w:pPr>
        <w:widowControl/>
      </w:pPr>
      <w:r>
        <w:rPr>
          <w:rFonts w:ascii="Calibri" w:hAnsi="Calibri"/>
          <w:color w:val="1F2933"/>
          <w:sz w:val="22"/>
        </w:rPr>
        <w:t>Submitting the form is a request, not a confirmed booking.</w:t>
      </w:r>
    </w:p>
    <w:p>
      <w:pPr>
        <w:pStyle w:val="Heading1"/>
      </w:pPr>
      <w:r>
        <w:t>Alt-text drafts</w:t>
      </w:r>
    </w:p>
    <w:p>
      <w:r>
        <w:rPr>
          <w:i/>
        </w:rPr>
        <w:t>Based only on the fictional buyer-owned image descriptions in SRC-005. Match each draft to the actual visible image before any real publication.</w:t>
      </w:r>
    </w:p>
    <w:p>
      <w:pPr>
        <w:numPr>
          <w:ilvl w:val="0"/>
          <w:numId w:val="11"/>
        </w:numPr>
      </w:pPr>
      <w:r>
        <w:rPr>
          <w:rFonts w:ascii="Calibri" w:hAnsi="Calibri"/>
          <w:color w:val="1F2933"/>
          <w:sz w:val="21"/>
        </w:rPr>
        <w:t>IMG-001 - Clear pantry bins arranged on wood shelves beside three labeled woven baskets.</w:t>
      </w:r>
    </w:p>
    <w:p>
      <w:pPr>
        <w:numPr>
          <w:ilvl w:val="0"/>
          <w:numId w:val="11"/>
        </w:numPr>
      </w:pPr>
      <w:r>
        <w:rPr>
          <w:rFonts w:ascii="Calibri" w:hAnsi="Calibri"/>
          <w:color w:val="1F2933"/>
          <w:sz w:val="21"/>
        </w:rPr>
        <w:t>IMG-002 - Home organizer in a gray apron sorting folded linens onto open white closet shelves.</w:t>
      </w:r>
    </w:p>
    <w:p>
      <w:pPr>
        <w:numPr>
          <w:ilvl w:val="0"/>
          <w:numId w:val="11"/>
        </w:numPr>
      </w:pPr>
      <w:r>
        <w:rPr>
          <w:rFonts w:ascii="Calibri" w:hAnsi="Calibri"/>
          <w:color w:val="1F2933"/>
          <w:sz w:val="21"/>
        </w:rPr>
        <w:t>IMG-003 - Entryway bench with two baskets, four wall hooks, and a small tray holding keys.</w:t>
      </w:r>
    </w:p>
    <w:p>
      <w:pPr>
        <w:pStyle w:val="Heading1"/>
      </w:pPr>
      <w:r>
        <w:t>Claim-to-source ledger</w:t>
      </w:r>
    </w:p>
    <w:p>
      <w:r>
        <w:rPr>
          <w:i/>
        </w:rPr>
        <w:t>Every factual clause below maps to an approved fact in the fictional source brief. No external evidence was used.</w:t>
      </w:r>
    </w:p>
    <w:tbl>
      <w:tblPr>
        <w:tblW w:type="dxa" w:w="9360"/>
        <w:tblLayout w:type="fixed"/>
        <w:tblLook w:firstColumn="1" w:firstRow="1" w:lastColumn="0" w:lastRow="0" w:noHBand="0" w:noVBand="1" w:val="04A0"/>
        <w:tblInd w:w="120" w:type="dxa"/>
      </w:tblPr>
      <w:tblGrid>
        <w:gridCol w:w="800"/>
        <w:gridCol w:w="1300"/>
        <w:gridCol w:w="4260"/>
        <w:gridCol w:w="1740"/>
        <w:gridCol w:w="1260"/>
      </w:tblGrid>
      <w:tr>
        <w:trPr>
          <w:tblHeader w:val="true"/>
          <w:cantSplit/>
        </w:trPr>
        <w:tc>
          <w:tcPr>
            <w:tcW w:type="dxa" w:w="800"/>
            <w:tcMar>
              <w:top w:w="80" w:type="dxa"/>
              <w:start w:w="120" w:type="dxa"/>
              <w:bottom w:w="80" w:type="dxa"/>
              <w:end w:w="120" w:type="dxa"/>
            </w:tcMar>
            <w:vAlign w:val="center"/>
            <w:shd w:fill="19324A"/>
          </w:tcPr>
          <w:p>
            <w:pPr>
              <w:spacing w:before="0" w:after="0" w:line="259" w:lineRule="auto"/>
              <w:jc w:val="center"/>
            </w:pPr>
            <w:r/>
            <w:r>
              <w:rPr>
                <w:rFonts w:ascii="Calibri" w:hAnsi="Calibri"/>
                <w:b/>
                <w:color w:val="FFFFFF"/>
                <w:sz w:val="16"/>
              </w:rPr>
              <w:t>Claim</w:t>
            </w:r>
          </w:p>
        </w:tc>
        <w:tc>
          <w:tcPr>
            <w:tcW w:type="dxa" w:w="1300"/>
            <w:tcMar>
              <w:top w:w="80" w:type="dxa"/>
              <w:start w:w="120" w:type="dxa"/>
              <w:bottom w:w="80" w:type="dxa"/>
              <w:end w:w="120" w:type="dxa"/>
            </w:tcMar>
            <w:vAlign w:val="center"/>
            <w:shd w:fill="19324A"/>
          </w:tcPr>
          <w:p>
            <w:pPr>
              <w:spacing w:before="0" w:after="0" w:line="259" w:lineRule="auto"/>
              <w:jc w:val="center"/>
            </w:pPr>
            <w:r/>
            <w:r>
              <w:rPr>
                <w:rFonts w:ascii="Calibri" w:hAnsi="Calibri"/>
                <w:b/>
                <w:color w:val="FFFFFF"/>
                <w:sz w:val="16"/>
              </w:rPr>
              <w:t>Section</w:t>
            </w:r>
          </w:p>
        </w:tc>
        <w:tc>
          <w:tcPr>
            <w:tcW w:type="dxa" w:w="4260"/>
            <w:tcMar>
              <w:top w:w="80" w:type="dxa"/>
              <w:start w:w="120" w:type="dxa"/>
              <w:bottom w:w="80" w:type="dxa"/>
              <w:end w:w="120" w:type="dxa"/>
            </w:tcMar>
            <w:vAlign w:val="center"/>
            <w:shd w:fill="19324A"/>
          </w:tcPr>
          <w:p>
            <w:pPr>
              <w:spacing w:before="0" w:after="0" w:line="259" w:lineRule="auto"/>
              <w:jc w:val="center"/>
            </w:pPr>
            <w:r/>
            <w:r>
              <w:rPr>
                <w:rFonts w:ascii="Calibri" w:hAnsi="Calibri"/>
                <w:b/>
                <w:color w:val="FFFFFF"/>
                <w:sz w:val="16"/>
              </w:rPr>
              <w:t>Exact clause</w:t>
            </w:r>
          </w:p>
        </w:tc>
        <w:tc>
          <w:tcPr>
            <w:tcW w:type="dxa" w:w="1740"/>
            <w:tcMar>
              <w:top w:w="80" w:type="dxa"/>
              <w:start w:w="120" w:type="dxa"/>
              <w:bottom w:w="80" w:type="dxa"/>
              <w:end w:w="120" w:type="dxa"/>
            </w:tcMar>
            <w:vAlign w:val="center"/>
            <w:shd w:fill="19324A"/>
          </w:tcPr>
          <w:p>
            <w:pPr>
              <w:spacing w:before="0" w:after="0" w:line="259" w:lineRule="auto"/>
              <w:jc w:val="center"/>
            </w:pPr>
            <w:r/>
            <w:r>
              <w:rPr>
                <w:rFonts w:ascii="Calibri" w:hAnsi="Calibri"/>
                <w:b/>
                <w:color w:val="FFFFFF"/>
                <w:sz w:val="16"/>
              </w:rPr>
              <w:t>Fact IDs</w:t>
            </w:r>
          </w:p>
        </w:tc>
        <w:tc>
          <w:tcPr>
            <w:tcW w:type="dxa" w:w="1260"/>
            <w:tcMar>
              <w:top w:w="80" w:type="dxa"/>
              <w:start w:w="120" w:type="dxa"/>
              <w:bottom w:w="80" w:type="dxa"/>
              <w:end w:w="120" w:type="dxa"/>
            </w:tcMar>
            <w:vAlign w:val="center"/>
            <w:shd w:fill="19324A"/>
          </w:tcPr>
          <w:p>
            <w:pPr>
              <w:spacing w:before="0" w:after="0" w:line="259" w:lineRule="auto"/>
              <w:jc w:val="center"/>
            </w:pPr>
            <w:r/>
            <w:r>
              <w:rPr>
                <w:rFonts w:ascii="Calibri" w:hAnsi="Calibri"/>
                <w:b/>
                <w:color w:val="FFFFFF"/>
                <w:sz w:val="16"/>
              </w:rPr>
              <w:t>Status</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CLM-001</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SEO title</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Clearstead Home Organizing; Raleigh, Cary &amp; Apex</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FACT-001, FACT-003</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CLM-002</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Meta description</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Home organizing for pantries, closets, entryways, and move-ins in Raleigh, Cary, and Apex</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FACT-002, FACT-003</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CLM-003</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Hero eyebrow</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Home organizing in Raleigh, Cary &amp; Apex</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FACT-001, FACT-003</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CLM-004</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Hero</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Clearstead Home Organizing offers owner-led help</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FACT-001, FACT-008</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CLM-005</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Hero</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households working through pantries, closets, entryways, and move-in unpacking in Raleigh, Cary, and Apex</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FACT-002, FACT-003</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CLM-006</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Hero</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a focused three-hour reset, a six-hour move-in unpack, or a planning-only whole-home roadmap</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FACT-009, FACT-012, FACT-015, FACT-016</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CLM-007</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Hero</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You make every decision about what stays, moves, or leaves</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FACT-011</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CLM-008</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Hero CTA</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inquiry form asks for spaces, service city, and preferred dates</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FACT-005</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CLM-009</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Hero CTA</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Complete requests receive a reply within two business days</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FACT-006</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CLM-010</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Hero CTA</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Submitting the form is a request, not a confirmed booking</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FACT-007</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CLM-011</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Trust</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Every accepted booking is led by the owner</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FACT-008</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CLM-012</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Trust</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In-home sessions are limited to Raleigh, Cary, and Apex</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FACT-003</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CLM-013</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Trust</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standard appointment hours Tuesday through Saturday from 9:00 a.m. to 4:00 p.m.</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FACT-004</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CLM-014</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Trust</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containers or extra supplies require your written approval</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FACT-014, FACT-022</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CLM-015</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Trust</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nothing leaves without your approval</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FACT-011</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CLM-016</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Reset Session</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one room or a clearly defined zone; up to three hours; $325</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FACT-009</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CLM-017</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Reset Session</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sort on site, establish categories, place kept items, and prepare a written label list</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FACT-010</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CLM-018</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Reset Session</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use existing storage first and discuss any purchase before it is made</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FACT-014, FACT-022</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CLM-019</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Move-In Unpack</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six-hour session; kitchen, pantry, and primary closet; $780</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FACT-012, FACT-013</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CLM-020</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Move-In Unpack</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same-day zone notes plus a supply list when additional supplies were discussed</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FACT-020</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CLM-021</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Whole-Home Roadmap</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90-minute in-home walkthrough; $240</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FACT-015</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CLM-022</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Whole-Home Roadmap</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prioritized written plan within one business day</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FACT-016</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CLM-023</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Process 1</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inquiry includes rooms or zones, city, priorities, and preferred dates</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FACT-017</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CLM-024</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Process 2</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written reply confirms fit, fixed scope, and offered appointment times</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FACT-018</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CLM-025</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Process 3</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accepted on-site session or walkthrough followed by the included written handoff</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FACT-019, FACT-020</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CLM-026</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FAQ - area</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in-home service in Raleigh, Cary, and Apex, North Carolina</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FACT-003</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CLM-027</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FAQ - supplies</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existing storage first; supplies are excluded from price and need written approval</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FACT-014, FACT-022</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CLM-028</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FAQ - donations</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one optional local donation drop-off up to one standard carload, subject to center acceptance and exclusions</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FACT-023</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CLM-029</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FAQ - reschedule</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one fee-free reschedule with 24 hours' notice; otherwise 50% remains due</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FACT-021</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CLM-030</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FAQ - exclusions</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no cleaning, hauling, moving, interior design, repairs, or confidential-document disposal</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FACT-025</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CLM-031</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FAQ - pets</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Pets must be secured away from the active work area</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FACT-024</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CLM-032</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Final CTA</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reply within two business days with fit, fixed scope, and offered times</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FACT-006, FACT-018</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CLM-033</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Alt IMG-001</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Clear pantry bins arranged on wood shelves beside three labeled woven baskets</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FACT-026</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shd w:fill="F8FAFB"/>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CLM-034</w:t>
            </w:r>
          </w:p>
        </w:tc>
        <w:tc>
          <w:tcPr>
            <w:tcW w:type="dxa" w:w="130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Alt IMG-002</w:t>
            </w:r>
          </w:p>
        </w:tc>
        <w:tc>
          <w:tcPr>
            <w:tcW w:type="dxa" w:w="426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Home organizer in a gray apron sorting folded linens onto open white closet shelves</w:t>
            </w:r>
          </w:p>
        </w:tc>
        <w:tc>
          <w:tcPr>
            <w:tcW w:type="dxa" w:w="1740"/>
            <w:shd w:fill="F8FAFB"/>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FACT-027</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r>
        <w:trPr>
          <w:cantSplit/>
        </w:trPr>
        <w:tc>
          <w:tcPr>
            <w:tcW w:type="dxa" w:w="800"/>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CLM-035</w:t>
            </w:r>
          </w:p>
        </w:tc>
        <w:tc>
          <w:tcPr>
            <w:tcW w:type="dxa" w:w="130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Alt IMG-003</w:t>
            </w:r>
          </w:p>
        </w:tc>
        <w:tc>
          <w:tcPr>
            <w:tcW w:type="dxa" w:w="426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5"/>
              </w:rPr>
              <w:t>Entryway bench with two baskets, four wall hooks, and a small tray holding keys</w:t>
            </w:r>
          </w:p>
        </w:tc>
        <w:tc>
          <w:tcPr>
            <w:tcW w:type="dxa" w:w="1740"/>
            <w:tcMar>
              <w:top w:w="80" w:type="dxa"/>
              <w:start w:w="120" w:type="dxa"/>
              <w:bottom w:w="80" w:type="dxa"/>
              <w:end w:w="120" w:type="dxa"/>
            </w:tcMar>
            <w:vAlign w:val="center"/>
          </w:tcPr>
          <w:p>
            <w:pPr>
              <w:spacing w:before="0" w:after="0" w:line="259" w:lineRule="auto"/>
              <w:jc w:val="left"/>
            </w:pPr>
            <w:r/>
            <w:r>
              <w:rPr>
                <w:rFonts w:ascii="Calibri" w:hAnsi="Calibri"/>
                <w:b w:val="0"/>
                <w:color w:val="1F2933"/>
                <w:sz w:val="16"/>
              </w:rPr>
              <w:t>FACT-028</w:t>
            </w:r>
          </w:p>
        </w:tc>
        <w:tc>
          <w:tcPr>
            <w:tcW w:type="dxa" w:w="1260"/>
            <w:shd w:fill="E8F5EE"/>
            <w:tcMar>
              <w:top w:w="80" w:type="dxa"/>
              <w:start w:w="120" w:type="dxa"/>
              <w:bottom w:w="80" w:type="dxa"/>
              <w:end w:w="120" w:type="dxa"/>
            </w:tcMar>
            <w:vAlign w:val="center"/>
          </w:tcPr>
          <w:p>
            <w:pPr>
              <w:spacing w:before="0" w:after="0" w:line="259" w:lineRule="auto"/>
              <w:jc w:val="center"/>
            </w:pPr>
            <w:r/>
            <w:r>
              <w:rPr>
                <w:rFonts w:ascii="Calibri" w:hAnsi="Calibri"/>
                <w:b w:val="0"/>
                <w:color w:val="1F2933"/>
                <w:sz w:val="16"/>
              </w:rPr>
              <w:t>SUPPORTED</w:t>
            </w:r>
          </w:p>
        </w:tc>
      </w:tr>
    </w:tbl>
    <w:p>
      <w:pPr>
        <w:pStyle w:val="Heading1"/>
      </w:pPr>
      <w:r>
        <w:t>Assumptions and omissions</w:t>
      </w:r>
    </w:p>
    <w:p>
      <w:pPr>
        <w:numPr>
          <w:ilvl w:val="0"/>
          <w:numId w:val="12"/>
        </w:numPr>
      </w:pPr>
      <w:r>
        <w:rPr>
          <w:rFonts w:ascii="Calibri" w:hAnsi="Calibri"/>
          <w:color w:val="1F2933"/>
          <w:sz w:val="20"/>
        </w:rPr>
        <w:t>FICTIONAL DEMO: Clearstead Home Organizing and every supplied fact are fictional, rights-cleared demonstration content; they are not evidence about a real business.</w:t>
      </w:r>
    </w:p>
    <w:p>
      <w:pPr>
        <w:numPr>
          <w:ilvl w:val="0"/>
          <w:numId w:val="12"/>
        </w:numPr>
      </w:pPr>
      <w:r>
        <w:rPr>
          <w:rFonts w:ascii="Calibri" w:hAnsi="Calibri"/>
          <w:color w:val="1F2933"/>
          <w:sz w:val="20"/>
        </w:rPr>
        <w:t>No testimonial, review, client count, award, credential, affiliation, case study, certification, or performance result was supplied or used.</w:t>
      </w:r>
    </w:p>
    <w:p>
      <w:pPr>
        <w:numPr>
          <w:ilvl w:val="0"/>
          <w:numId w:val="12"/>
        </w:numPr>
      </w:pPr>
      <w:r>
        <w:rPr>
          <w:rFonts w:ascii="Calibri" w:hAnsi="Calibri"/>
          <w:color w:val="1F2933"/>
          <w:sz w:val="20"/>
        </w:rPr>
        <w:t>No years-in-business, insurance, permanent behavior change, reduced-stress, home-value, sustainability, or guaranteed-outcome claim was supplied or used.</w:t>
      </w:r>
    </w:p>
    <w:p>
      <w:pPr>
        <w:numPr>
          <w:ilvl w:val="0"/>
          <w:numId w:val="12"/>
        </w:numPr>
      </w:pPr>
      <w:r>
        <w:rPr>
          <w:rFonts w:ascii="Calibri" w:hAnsi="Calibri"/>
          <w:color w:val="1F2933"/>
          <w:sz w:val="20"/>
        </w:rPr>
        <w:t>Prohibited wording such as “best,” “leading,” “life-changing,” “perfect,” “guaranteed,” and “stress-free” was omitted.</w:t>
      </w:r>
    </w:p>
    <w:p>
      <w:pPr>
        <w:numPr>
          <w:ilvl w:val="0"/>
          <w:numId w:val="12"/>
        </w:numPr>
      </w:pPr>
      <w:r>
        <w:rPr>
          <w:rFonts w:ascii="Calibri" w:hAnsi="Calibri"/>
          <w:color w:val="1F2933"/>
          <w:sz w:val="20"/>
        </w:rPr>
        <w:t>SEO fields are editorial drafts only; no keyword-volume, ranking, traffic, lead, conversion, or sales research was performed.</w:t>
      </w:r>
    </w:p>
    <w:p>
      <w:pPr>
        <w:numPr>
          <w:ilvl w:val="0"/>
          <w:numId w:val="12"/>
        </w:numPr>
      </w:pPr>
      <w:r>
        <w:rPr>
          <w:rFonts w:ascii="Calibri" w:hAnsi="Calibri"/>
          <w:color w:val="1F2933"/>
          <w:sz w:val="20"/>
        </w:rPr>
        <w:t>Alt-text drafts rely only on the fictional image descriptions. Actual images must be reviewed before any real publication.</w:t>
      </w:r>
    </w:p>
    <w:p>
      <w:pPr>
        <w:numPr>
          <w:ilvl w:val="0"/>
          <w:numId w:val="12"/>
        </w:numPr>
      </w:pPr>
      <w:r>
        <w:rPr>
          <w:rFonts w:ascii="Calibri" w:hAnsi="Calibri"/>
          <w:color w:val="1F2933"/>
          <w:sz w:val="20"/>
        </w:rPr>
        <w:t>No CMS access, live-site editing, publishing, design, code, analytics, legal review, accessibility certification, or external fact checking was performed.</w:t>
      </w:r>
    </w:p>
    <w:p>
      <w:pPr>
        <w:numPr>
          <w:ilvl w:val="0"/>
          <w:numId w:val="12"/>
        </w:numPr>
      </w:pPr>
      <w:r>
        <w:rPr>
          <w:rFonts w:ascii="Calibri" w:hAnsi="Calibri"/>
          <w:color w:val="1F2933"/>
          <w:sz w:val="20"/>
        </w:rPr>
        <w:t>The final CTA is an inquiry request. It does not imply that a booking is confirmed or that an appointment time is available.</w:t>
      </w:r>
    </w:p>
    <w:p>
      <w:pPr>
        <w:pStyle w:val="Heading1"/>
      </w:pPr>
      <w:r>
        <w:t>Handoff note</w:t>
      </w:r>
    </w:p>
    <w:p>
      <w:r>
        <w:rPr>
          <w:i/>
          <w:color w:val="5A6670"/>
        </w:rPr>
        <w:t>This copy is ready to paste only after a real buyer verifies every business fact, price, policy, destination, and image against current authorized sources. The demonstration does not promise rankings, traffic, conversions, leads, sales, or any other business result.</w:t>
      </w:r>
    </w:p>
    <w:sectPr w:rsidR="00FC693F" w:rsidRPr="0006063C" w:rsidSect="00034616">
      <w:headerReference w:type="default" r:id="rId9"/>
      <w:headerReference w:type="even" r:id="rId10"/>
      <w:footerReference w:type="default" r:id="rId11"/>
      <w:footerReference w:type="even" r:id="rId12"/>
      <w:pgSz w:w="12240" w:h="15840"/>
      <w:pgMar w:top="1152"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
      <w:rPr>
        <w:rFonts w:ascii="Calibri" w:hAnsi="Calibri"/>
        <w:color w:val="5A6670"/>
        <w:sz w:val="16"/>
      </w:rPr>
      <w:t xml:space="preserve">Homepage Copy Rescue | Fictional demo | Page </w:t>
    </w:r>
    <w:r>
      <w:fldChar w:fldCharType="begin"/>
    </w:r>
    <w:r>
      <w:instrText xml:space="preserve">PAGE</w:instrText>
    </w:r>
    <w:r>
      <w:fldChar w:fldCharType="separate"/>
    </w:r>
    <w:r>
      <w:t>1</w:t>
    </w:r>
    <w:r>
      <w:fldChar w:fldCharType="end"/>
    </w:r>
    <w:r>
      <w:rPr>
        <w:rFonts w:ascii="Calibri" w:hAnsi="Calibri"/>
        <w:color w:val="5A6670"/>
        <w:sz w:val="16"/>
      </w:rPr>
      <w:t xml:space="preserve"> of </w:t>
    </w:r>
    <w:r>
      <w:fldChar w:fldCharType="begin"/>
    </w:r>
    <w:r>
      <w:instrText xml:space="preserve">NUMPAGES</w:instrText>
    </w:r>
    <w:r>
      <w:fldChar w:fldCharType="separate"/>
    </w:r>
    <w:r>
      <w:t>1</w: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
      <w:rPr>
        <w:rFonts w:ascii="Calibri" w:hAnsi="Calibri"/>
        <w:color w:val="5A6670"/>
        <w:sz w:val="16"/>
      </w:rPr>
      <w:t xml:space="preserve">Homepage Copy Rescue | Fictional demo | Page </w:t>
    </w:r>
    <w:r>
      <w:fldChar w:fldCharType="begin"/>
    </w:r>
    <w:r>
      <w:instrText xml:space="preserve">PAGE</w:instrText>
    </w:r>
    <w:r>
      <w:fldChar w:fldCharType="separate"/>
    </w:r>
    <w:r>
      <w:t>1</w:t>
    </w:r>
    <w:r>
      <w:fldChar w:fldCharType="end"/>
    </w:r>
    <w:r>
      <w:rPr>
        <w:rFonts w:ascii="Calibri" w:hAnsi="Calibri"/>
        <w:color w:val="5A6670"/>
        <w:sz w:val="16"/>
      </w:rPr>
      <w:t xml:space="preserve"> of </w:t>
    </w:r>
    <w:r>
      <w:fldChar w:fldCharType="begin"/>
    </w:r>
    <w:r>
      <w:instrText xml:space="preserve">NUMPAGES</w:instrText>
    </w:r>
    <w:r>
      <w:fldChar w:fldCharType="separate"/>
    </w:r>
    <w:r>
      <w:t>1</w:t>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
      <w:rPr>
        <w:rFonts w:ascii="Calibri" w:hAnsi="Calibri"/>
        <w:b/>
        <w:color w:val="5A6670"/>
        <w:sz w:val="17"/>
      </w:rPr>
      <w:t>FICTIONAL DEMO HANDOFF</w:t>
    </w:r>
    <w:r>
      <w:rPr>
        <w:rFonts w:ascii="Calibri" w:hAnsi="Calibri"/>
        <w:b/>
        <w:color w:val="2E6F7E"/>
        <w:sz w:val="17"/>
      </w:rPr>
      <w:t xml:space="preserve">    CLEARSTEAD HOME ORGANIZING</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
      <w:rPr>
        <w:rFonts w:ascii="Calibri" w:hAnsi="Calibri"/>
        <w:b/>
        <w:color w:val="5A6670"/>
        <w:sz w:val="17"/>
      </w:rPr>
      <w:t>FICTIONAL DEMO HANDOFF</w:t>
    </w:r>
    <w:r>
      <w:rPr>
        <w:rFonts w:ascii="Calibri" w:hAnsi="Calibri"/>
        <w:b/>
        <w:color w:val="2E6F7E"/>
        <w:sz w:val="17"/>
      </w:rPr>
      <w:t xml:space="preserve">    CLEARSTEAD HOME ORGANIZING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suff w:val="tab"/>
      <w:pPr>
        <w:tabs>
          <w:tab w:val="num" w:pos="540"/>
        </w:tabs>
        <w:ind w:left="540" w:hanging="270"/>
        <w:spacing w:after="80" w:line="300" w:lineRule="auto"/>
      </w:pPr>
    </w:lvl>
  </w:abstractNum>
  <w:abstractNum w:abstractNumId="10">
    <w:multiLevelType w:val="singleLevel"/>
    <w:lvl w:ilvl="0">
      <w:start w:val="1"/>
      <w:numFmt w:val="decimal"/>
      <w:lvlText w:val="%1."/>
      <w:suff w:val="tab"/>
      <w:pPr>
        <w:tabs>
          <w:tab w:val="num" w:pos="540"/>
        </w:tabs>
        <w:ind w:left="540" w:hanging="270"/>
        <w:spacing w:after="80" w:line="300" w:lineRule="auto"/>
      </w:pPr>
    </w:lvl>
  </w:abstractNum>
  <w:abstractNum w:abstractNumId="11">
    <w:multiLevelType w:val="singleLevel"/>
    <w:lvl w:ilvl="0">
      <w:start w:val="1"/>
      <w:numFmt w:val="bullet"/>
      <w:lvlText w:val="•"/>
      <w:suff w:val="tab"/>
      <w:pPr>
        <w:tabs>
          <w:tab w:val="num" w:pos="540"/>
        </w:tabs>
        <w:ind w:left="540" w:hanging="270"/>
        <w:spacing w:after="80" w:line="300" w:lineRule="auto"/>
      </w:pPr>
      <w:rPr>
        <w:rFonts w:ascii="Calibri" w:hAnsi="Calibri"/>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F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6F7E"/>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6F7E"/>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Homepage Copy Rescue - Fictional Demo</dc:title>
  <dc:subject>Source-grounded fictional homepage copy proof</dc:subject>
  <dc:creator>Fictional Demo</dc:creator>
  <cp:keywords>fictional demo, homepage copy, source grounded</cp:keywords>
  <dc:description>generated by python-docx</dc:description>
  <cp:lastModifiedBy/>
  <cp:revision>1</cp:revision>
  <dcterms:created xsi:type="dcterms:W3CDTF">2013-12-23T23:15:00Z</dcterms:created>
  <dcterms:modified xsi:type="dcterms:W3CDTF">2013-12-23T23:15:00Z</dcterms:modified>
  <cp:category/>
</cp:coreProperties>
</file>