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80"/>
      </w:pPr>
      <w:r>
        <w:rPr>
          <w:rFonts w:ascii="Calibri" w:hAnsi="Calibri"/>
          <w:b/>
          <w:color w:val="2E74B5"/>
          <w:sz w:val="21"/>
        </w:rPr>
        <w:t>DECISION-READY MEETING BRIEF</w:t>
      </w:r>
    </w:p>
    <w:p>
      <w:pPr>
        <w:pStyle w:val="Title"/>
      </w:pPr>
      <w:r>
        <w:t>Meeting-to-Action Demo</w:t>
      </w:r>
    </w:p>
    <w:p>
      <w:pPr>
        <w:pStyle w:val="Subtitle"/>
      </w:pPr>
      <w:r>
        <w:t>Cedarline Labs | Atlas Beta Launch Planning</w:t>
      </w:r>
    </w:p>
    <w:p>
      <w:pPr>
        <w:spacing w:before="0" w:after="40" w:line="240" w:lineRule="auto"/>
      </w:pPr>
      <w:r>
        <w:rPr>
          <w:rFonts w:ascii="Calibri" w:hAnsi="Calibri"/>
          <w:b/>
          <w:color w:val="20262E"/>
          <w:sz w:val="20"/>
        </w:rPr>
        <w:t xml:space="preserve">Classification: </w:t>
      </w:r>
      <w:r>
        <w:rPr>
          <w:rFonts w:ascii="Calibri" w:hAnsi="Calibri"/>
          <w:color w:val="20262E"/>
          <w:sz w:val="20"/>
        </w:rPr>
        <w:t>FICTIONAL DEMO - NO REAL COMPANY OR CUSTOMER DATA</w:t>
      </w:r>
    </w:p>
    <w:p>
      <w:pPr>
        <w:spacing w:before="0" w:after="40" w:line="240" w:lineRule="auto"/>
      </w:pPr>
      <w:r>
        <w:rPr>
          <w:rFonts w:ascii="Calibri" w:hAnsi="Calibri"/>
          <w:b/>
          <w:color w:val="20262E"/>
          <w:sz w:val="20"/>
        </w:rPr>
        <w:t xml:space="preserve">Meeting: </w:t>
      </w:r>
      <w:r>
        <w:rPr>
          <w:rFonts w:ascii="Calibri" w:hAnsi="Calibri"/>
          <w:color w:val="20262E"/>
          <w:sz w:val="20"/>
        </w:rPr>
        <w:t>2026-08-17 | 10:00 AM ET | 08:06</w:t>
      </w:r>
    </w:p>
    <w:p>
      <w:pPr>
        <w:spacing w:before="0" w:after="40" w:line="240" w:lineRule="auto"/>
      </w:pPr>
      <w:r>
        <w:rPr>
          <w:rFonts w:ascii="Calibri" w:hAnsi="Calibri"/>
          <w:b/>
          <w:color w:val="20262E"/>
          <w:sz w:val="20"/>
        </w:rPr>
        <w:t xml:space="preserve">Participants: </w:t>
      </w:r>
      <w:r>
        <w:rPr>
          <w:rFonts w:ascii="Calibri" w:hAnsi="Calibri"/>
          <w:color w:val="20262E"/>
          <w:sz w:val="20"/>
        </w:rPr>
        <w:t>Maya Chen (Product Manager); Omar Reyes (Engineering Lead); Priya Shah (Product Marketing Lead); Leo Grant (Customer Success Lead)</w:t>
      </w:r>
    </w:p>
    <w:p>
      <w:pPr>
        <w:spacing w:before="0" w:after="40" w:line="240" w:lineRule="auto"/>
      </w:pPr>
      <w:r>
        <w:rPr>
          <w:rFonts w:ascii="Calibri" w:hAnsi="Calibri"/>
          <w:b/>
          <w:color w:val="20262E"/>
          <w:sz w:val="20"/>
        </w:rPr>
        <w:t xml:space="preserve">Source: </w:t>
      </w:r>
      <w:r>
        <w:rPr>
          <w:rFonts w:ascii="Calibri" w:hAnsi="Calibri"/>
          <w:color w:val="20262E"/>
          <w:sz w:val="20"/>
        </w:rPr>
        <w:t>One invented, timestamped transcript; all outputs below are grounded to it</w:t>
      </w:r>
    </w:p>
    <w:p>
      <w:pPr>
        <w:spacing w:before="0" w:after="40" w:line="240" w:lineRule="auto"/>
      </w:pPr>
      <w:r>
        <w:rPr>
          <w:rFonts w:ascii="Calibri" w:hAnsi="Calibri"/>
          <w:b/>
          <w:color w:val="20262E"/>
          <w:sz w:val="20"/>
        </w:rPr>
        <w:t xml:space="preserve">Prepared: </w:t>
      </w:r>
      <w:r>
        <w:rPr>
          <w:rFonts w:ascii="Calibri" w:hAnsi="Calibri"/>
          <w:color w:val="20262E"/>
          <w:sz w:val="20"/>
        </w:rPr>
        <w:t>2026-08-17</w:t>
      </w:r>
    </w:p>
    <w:p>
      <w:pPr>
        <w:spacing w:before="160" w:after="200"/>
        <w:pBdr>
          <w:bottom w:val="single" w:sz="10" w:space="4" w:color="2E74B5"/>
        </w:pBdr>
      </w:pPr>
    </w:p>
    <w:p>
      <w:pPr>
        <w:spacing w:before="80" w:after="160" w:line="264" w:lineRule="auto"/>
        <w:ind w:left="173" w:right="115"/>
        <w:shd w:fill="F4F6F9"/>
        <w:pBdr>
          <w:left w:val="single" w:sz="18" w:space="8" w:color="2E74B5"/>
        </w:pBdr>
      </w:pPr>
      <w:r>
        <w:rPr>
          <w:rFonts w:ascii="Calibri" w:hAnsi="Calibri"/>
          <w:b/>
          <w:color w:val="1F4D78"/>
          <w:sz w:val="21"/>
        </w:rPr>
        <w:t xml:space="preserve">TRACEABILITY STANDARD. </w:t>
      </w:r>
      <w:r>
        <w:rPr>
          <w:rFonts w:ascii="Calibri" w:hAnsi="Calibri"/>
          <w:color w:val="20262E"/>
          <w:sz w:val="21"/>
        </w:rPr>
        <w:t>Every decision and action is linked to a transcript timestamp. Unstated owners and dates are never inferred.</w:t>
      </w:r>
    </w:p>
    <w:p>
      <w:pPr>
        <w:pStyle w:val="Heading1"/>
      </w:pPr>
      <w:r>
        <w:t>Executive summary</w:t>
      </w:r>
    </w:p>
    <w:p>
      <w:pPr>
        <w:numPr>
          <w:ilvl w:val="0"/>
          <w:numId w:val="10"/>
        </w:numPr>
      </w:pPr>
      <w:r>
        <w:rPr>
          <w:rFonts w:ascii="Calibri" w:hAnsi="Calibri"/>
          <w:color w:val="20262E"/>
          <w:sz w:val="22"/>
        </w:rPr>
        <w:t>The team set Tuesday, September 8, 2026 as the Atlas beta kickoff, contingent on a readiness review four days earlier. [sources 02:54, 07:37]</w:t>
      </w:r>
    </w:p>
    <w:p>
      <w:pPr>
        <w:numPr>
          <w:ilvl w:val="0"/>
          <w:numId w:val="10"/>
        </w:numPr>
      </w:pPr>
      <w:r>
        <w:rPr>
          <w:rFonts w:ascii="Calibri" w:hAnsi="Calibri"/>
          <w:color w:val="20262E"/>
          <w:sz w:val="22"/>
        </w:rPr>
        <w:t>The beta cohort will be capped at 20 customer accounts, split evenly between design agencies and professional-services firms. [sources 03:20, 03:47]</w:t>
      </w:r>
    </w:p>
    <w:p>
      <w:pPr>
        <w:numPr>
          <w:ilvl w:val="0"/>
          <w:numId w:val="10"/>
        </w:numPr>
      </w:pPr>
      <w:r>
        <w:rPr>
          <w:rFonts w:ascii="Calibri" w:hAnsi="Calibri"/>
          <w:color w:val="20262E"/>
          <w:sz w:val="22"/>
        </w:rPr>
        <w:t>Every participant must complete the onboarding checklist before workspace activation; invites and the FAQ will carry that requirement. [sources 04:13, 04:37, 05:42]</w:t>
      </w:r>
    </w:p>
    <w:p>
      <w:pPr>
        <w:numPr>
          <w:ilvl w:val="0"/>
          <w:numId w:val="10"/>
        </w:numPr>
      </w:pPr>
      <w:r>
        <w:rPr>
          <w:rFonts w:ascii="Calibri" w:hAnsi="Calibri"/>
          <w:color w:val="20262E"/>
          <w:sz w:val="22"/>
        </w:rPr>
        <w:t>Delivery work has named owners and dates, while the rollback checklist remains unassigned and three operating questions remain open: activation measurement, support response time, and whether to record training. [sources 04:58, 05:25, 05:42, 06:02, 06:25, 06:42, 07:00, 07:18]</w:t>
      </w:r>
    </w:p>
    <w:p>
      <w:r>
        <w:br w:type="page"/>
      </w:r>
    </w:p>
    <w:p>
      <w:pPr>
        <w:pStyle w:val="Heading1"/>
      </w:pPr>
      <w:r>
        <w:t>Decisions</w:t>
      </w:r>
    </w:p>
    <w:tbl>
      <w:tblPr>
        <w:tblW w:type="dxa" w:w="9360"/>
        <w:jc w:val="left"/>
        <w:tblLayout w:type="fixed"/>
        <w:tblLook w:firstColumn="1" w:firstRow="1" w:lastColumn="0" w:lastRow="0" w:noHBand="0" w:noVBand="1" w:val="04A0"/>
        <w:tblInd w:w="120" w:type="dxa"/>
        <w:tblBorders>
          <w:top w:val="single" w:sz="4" w:space="0" w:color="D8DEE7"/>
          <w:left w:val="single" w:sz="4" w:space="0" w:color="D8DEE7"/>
          <w:bottom w:val="single" w:sz="4" w:space="0" w:color="D8DEE7"/>
          <w:right w:val="single" w:sz="4" w:space="0" w:color="D8DEE7"/>
          <w:insideH w:val="single" w:sz="4" w:space="0" w:color="D8DEE7"/>
          <w:insideV w:val="single" w:sz="4" w:space="0" w:color="D8DEE7"/>
        </w:tblBorders>
      </w:tblPr>
      <w:tblGrid>
        <w:gridCol w:w="650"/>
        <w:gridCol w:w="4300"/>
        <w:gridCol w:w="900"/>
        <w:gridCol w:w="3510"/>
      </w:tblGrid>
      <w:tr>
        <w:trPr>
          <w:trHeight w:hRule="atLeast"/>
          <w:tblHeader w:val="true"/>
          <w:cantSplit/>
        </w:trPr>
        <w:tc>
          <w:tcPr>
            <w:tcW w:type="dxa" w:w="65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ID</w:t>
            </w:r>
          </w:p>
        </w:tc>
        <w:tc>
          <w:tcPr>
            <w:tcW w:type="dxa" w:w="4300"/>
            <w:shd w:fill="F2F4F7"/>
            <w:tcMar>
              <w:top w:w="80" w:type="dxa"/>
              <w:start w:w="120" w:type="dxa"/>
              <w:bottom w:w="80" w:type="dxa"/>
              <w:end w:w="120" w:type="dxa"/>
            </w:tcMar>
            <w:vAlign w:val="center"/>
          </w:tcPr>
          <w:p>
            <w:pPr>
              <w:spacing w:before="0" w:after="40" w:line="252" w:lineRule="auto"/>
              <w:jc w:val="left"/>
            </w:pPr>
            <w:r>
              <w:rPr>
                <w:rFonts w:ascii="Calibri" w:hAnsi="Calibri"/>
                <w:b/>
                <w:color w:val="20262E"/>
                <w:sz w:val="18"/>
              </w:rPr>
              <w:t>Decision</w:t>
            </w:r>
          </w:p>
        </w:tc>
        <w:tc>
          <w:tcPr>
            <w:tcW w:type="dxa" w:w="90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Source</w:t>
            </w:r>
          </w:p>
        </w:tc>
        <w:tc>
          <w:tcPr>
            <w:tcW w:type="dxa" w:w="3510"/>
            <w:shd w:fill="F2F4F7"/>
            <w:tcMar>
              <w:top w:w="80" w:type="dxa"/>
              <w:start w:w="120" w:type="dxa"/>
              <w:bottom w:w="80" w:type="dxa"/>
              <w:end w:w="120" w:type="dxa"/>
            </w:tcMar>
            <w:vAlign w:val="center"/>
          </w:tcPr>
          <w:p>
            <w:pPr>
              <w:spacing w:before="0" w:after="40" w:line="252" w:lineRule="auto"/>
              <w:jc w:val="left"/>
            </w:pPr>
            <w:r>
              <w:rPr>
                <w:rFonts w:ascii="Calibri" w:hAnsi="Calibri"/>
                <w:b/>
                <w:color w:val="20262E"/>
                <w:sz w:val="18"/>
              </w:rPr>
              <w:t>Rationale</w:t>
            </w:r>
          </w:p>
        </w:tc>
      </w:tr>
      <w:tr>
        <w:trPr>
          <w:trHeight w:hRule="atLeast"/>
          <w:cantSplit/>
        </w:trPr>
        <w:tc>
          <w:tcPr>
            <w:tcW w:type="dxa" w:w="65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D-01</w:t>
            </w:r>
          </w:p>
        </w:tc>
        <w:tc>
          <w:tcPr>
            <w:tcW w:type="dxa" w:w="430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Kick off the Atlas beta on Tuesday, September 8, 2026, subject to the September 4 readiness review.</w:t>
            </w:r>
          </w:p>
        </w:tc>
        <w:tc>
          <w:tcPr>
            <w:tcW w:type="dxa" w:w="90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02:54</w:t>
            </w:r>
          </w:p>
        </w:tc>
        <w:tc>
          <w:tcPr>
            <w:tcW w:type="dxa" w:w="351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This preserves one full week for build stabilization, recruitment, and onboarding preparation.</w:t>
            </w:r>
          </w:p>
        </w:tc>
      </w:tr>
      <w:tr>
        <w:trPr>
          <w:trHeight w:hRule="atLeast"/>
          <w:cantSplit/>
        </w:trPr>
        <w:tc>
          <w:tcPr>
            <w:tcW w:type="dxa" w:w="65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D-02</w:t>
            </w:r>
          </w:p>
        </w:tc>
        <w:tc>
          <w:tcPr>
            <w:tcW w:type="dxa" w:w="430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Cap the beta at 20 customer accounts: 10 design agencies and 10 professional-services firms.</w:t>
            </w:r>
          </w:p>
        </w:tc>
        <w:tc>
          <w:tcPr>
            <w:tcW w:type="dxa" w:w="90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03:47</w:t>
            </w:r>
          </w:p>
        </w:tc>
        <w:tc>
          <w:tcPr>
            <w:tcW w:type="dxa" w:w="351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The split keeps the cohort small enough for hands-on support while testing two recurring-client-work segments.</w:t>
            </w:r>
          </w:p>
        </w:tc>
      </w:tr>
      <w:tr>
        <w:trPr>
          <w:trHeight w:hRule="atLeast"/>
          <w:cantSplit/>
        </w:trPr>
        <w:tc>
          <w:tcPr>
            <w:tcW w:type="dxa" w:w="65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D-03</w:t>
            </w:r>
          </w:p>
        </w:tc>
        <w:tc>
          <w:tcPr>
            <w:tcW w:type="dxa" w:w="430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Require the onboarding checklist to be completed before any beta workspace is activated.</w:t>
            </w:r>
          </w:p>
        </w:tc>
        <w:tc>
          <w:tcPr>
            <w:tcW w:type="dxa" w:w="90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04:37</w:t>
            </w:r>
          </w:p>
        </w:tc>
        <w:tc>
          <w:tcPr>
            <w:tcW w:type="dxa" w:w="351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A gated checklist reduces setup confusion and creates a consistent starting point for feedback.</w:t>
            </w:r>
          </w:p>
        </w:tc>
      </w:tr>
    </w:tbl>
    <w:p>
      <w:pPr>
        <w:spacing w:before="80" w:after="80"/>
      </w:pPr>
      <w:r>
        <w:rPr>
          <w:rFonts w:ascii="Calibri" w:hAnsi="Calibri"/>
          <w:i/>
          <w:color w:val="5F6B78"/>
          <w:sz w:val="18"/>
        </w:rPr>
        <w:t>Source: fictional transcript timestamps shown in the table.</w:t>
      </w:r>
    </w:p>
    <w:p>
      <w:r>
        <w:br w:type="page"/>
      </w:r>
    </w:p>
    <w:p>
      <w:pPr>
        <w:pStyle w:val="Heading1"/>
      </w:pPr>
      <w:r>
        <w:t>Action register</w:t>
      </w:r>
    </w:p>
    <w:p>
      <w:pPr>
        <w:spacing w:before="80" w:after="160" w:line="264" w:lineRule="auto"/>
        <w:ind w:left="173" w:right="115"/>
        <w:shd w:fill="FFF4E5"/>
        <w:pBdr>
          <w:left w:val="single" w:sz="18" w:space="8" w:color="C47A00"/>
        </w:pBdr>
      </w:pPr>
      <w:r>
        <w:rPr>
          <w:rFonts w:ascii="Calibri" w:hAnsi="Calibri"/>
          <w:b/>
          <w:color w:val="1F4D78"/>
          <w:sz w:val="21"/>
        </w:rPr>
        <w:t xml:space="preserve">REVIEW FIRST. </w:t>
      </w:r>
      <w:r>
        <w:rPr>
          <w:rFonts w:ascii="Calibri" w:hAnsi="Calibri"/>
          <w:color w:val="20262E"/>
          <w:sz w:val="21"/>
        </w:rPr>
        <w:t>A-05 needs an owner and deadline. The workflow deliberately leaves both fields unresolved because the transcript did not assign them.</w:t>
      </w:r>
    </w:p>
    <w:tbl>
      <w:tblPr>
        <w:tblW w:type="dxa" w:w="9360"/>
        <w:jc w:val="left"/>
        <w:tblLayout w:type="fixed"/>
        <w:tblLook w:firstColumn="1" w:firstRow="1" w:lastColumn="0" w:lastRow="0" w:noHBand="0" w:noVBand="1" w:val="04A0"/>
        <w:tblInd w:w="120" w:type="dxa"/>
        <w:tblBorders>
          <w:top w:val="single" w:sz="4" w:space="0" w:color="D8DEE7"/>
          <w:left w:val="single" w:sz="4" w:space="0" w:color="D8DEE7"/>
          <w:bottom w:val="single" w:sz="4" w:space="0" w:color="D8DEE7"/>
          <w:right w:val="single" w:sz="4" w:space="0" w:color="D8DEE7"/>
          <w:insideH w:val="single" w:sz="4" w:space="0" w:color="D8DEE7"/>
          <w:insideV w:val="single" w:sz="4" w:space="0" w:color="D8DEE7"/>
        </w:tblBorders>
      </w:tblPr>
      <w:tblGrid>
        <w:gridCol w:w="520"/>
        <w:gridCol w:w="3370"/>
        <w:gridCol w:w="1370"/>
        <w:gridCol w:w="1640"/>
        <w:gridCol w:w="1080"/>
        <w:gridCol w:w="1380"/>
      </w:tblGrid>
      <w:tr>
        <w:trPr>
          <w:trHeight w:hRule="atLeast"/>
          <w:tblHeader w:val="true"/>
          <w:cantSplit/>
        </w:trPr>
        <w:tc>
          <w:tcPr>
            <w:tcW w:type="dxa" w:w="52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ID</w:t>
            </w:r>
          </w:p>
        </w:tc>
        <w:tc>
          <w:tcPr>
            <w:tcW w:type="dxa" w:w="3370"/>
            <w:shd w:fill="F2F4F7"/>
            <w:tcMar>
              <w:top w:w="80" w:type="dxa"/>
              <w:start w:w="120" w:type="dxa"/>
              <w:bottom w:w="80" w:type="dxa"/>
              <w:end w:w="120" w:type="dxa"/>
            </w:tcMar>
            <w:vAlign w:val="center"/>
          </w:tcPr>
          <w:p>
            <w:pPr>
              <w:spacing w:before="0" w:after="40" w:line="252" w:lineRule="auto"/>
              <w:jc w:val="left"/>
            </w:pPr>
            <w:r>
              <w:rPr>
                <w:rFonts w:ascii="Calibri" w:hAnsi="Calibri"/>
                <w:b/>
                <w:color w:val="20262E"/>
                <w:sz w:val="18"/>
              </w:rPr>
              <w:t>Action</w:t>
            </w:r>
          </w:p>
        </w:tc>
        <w:tc>
          <w:tcPr>
            <w:tcW w:type="dxa" w:w="137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Owner</w:t>
            </w:r>
          </w:p>
        </w:tc>
        <w:tc>
          <w:tcPr>
            <w:tcW w:type="dxa" w:w="164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Due</w:t>
            </w:r>
          </w:p>
        </w:tc>
        <w:tc>
          <w:tcPr>
            <w:tcW w:type="dxa" w:w="108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Status</w:t>
            </w:r>
          </w:p>
        </w:tc>
        <w:tc>
          <w:tcPr>
            <w:tcW w:type="dxa" w:w="1380"/>
            <w:shd w:fill="F2F4F7"/>
            <w:tcMar>
              <w:top w:w="80" w:type="dxa"/>
              <w:start w:w="120" w:type="dxa"/>
              <w:bottom w:w="80" w:type="dxa"/>
              <w:end w:w="120" w:type="dxa"/>
            </w:tcMar>
            <w:vAlign w:val="center"/>
          </w:tcPr>
          <w:p>
            <w:pPr>
              <w:spacing w:before="0" w:after="40" w:line="252" w:lineRule="auto"/>
              <w:jc w:val="center"/>
            </w:pPr>
            <w:r>
              <w:rPr>
                <w:rFonts w:ascii="Calibri" w:hAnsi="Calibri"/>
                <w:b/>
                <w:color w:val="20262E"/>
                <w:sz w:val="18"/>
              </w:rPr>
              <w:t>Source</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A-01</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Publish the beta candidate build and post the release notes in the team channel.</w:t>
            </w:r>
          </w:p>
        </w:tc>
        <w:tc>
          <w:tcPr>
            <w:tcW w:type="dxa" w:w="137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Omar Reyes</w:t>
            </w:r>
          </w:p>
        </w:tc>
        <w:tc>
          <w:tcPr>
            <w:tcW w:type="dxa" w:w="164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2026-08-21 3:00 PM ET</w:t>
            </w:r>
          </w:p>
        </w:tc>
        <w:tc>
          <w:tcPr>
            <w:tcW w:type="dxa" w:w="10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Open</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05:25</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A-02</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Draft the beta invitation and FAQ, including the onboarding-checklist requirement.</w:t>
            </w:r>
          </w:p>
        </w:tc>
        <w:tc>
          <w:tcPr>
            <w:tcW w:type="dxa" w:w="137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Priya Shah</w:t>
            </w:r>
          </w:p>
        </w:tc>
        <w:tc>
          <w:tcPr>
            <w:tcW w:type="dxa" w:w="164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2026-08-25</w:t>
            </w:r>
          </w:p>
        </w:tc>
        <w:tc>
          <w:tcPr>
            <w:tcW w:type="dxa" w:w="10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Open</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05:42</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A-03</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Recruit 20 beta accounts using the approved 10-and-10 segment split.</w:t>
            </w:r>
          </w:p>
        </w:tc>
        <w:tc>
          <w:tcPr>
            <w:tcW w:type="dxa" w:w="137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Leo Grant</w:t>
            </w:r>
          </w:p>
        </w:tc>
        <w:tc>
          <w:tcPr>
            <w:tcW w:type="dxa" w:w="164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2026-08-26</w:t>
            </w:r>
          </w:p>
        </w:tc>
        <w:tc>
          <w:tcPr>
            <w:tcW w:type="dxa" w:w="10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Open</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06:02</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A-04</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Finalize and circulate the 20-account cohort list.</w:t>
            </w:r>
          </w:p>
        </w:tc>
        <w:tc>
          <w:tcPr>
            <w:tcW w:type="dxa" w:w="137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Maya Chen</w:t>
            </w:r>
          </w:p>
        </w:tc>
        <w:tc>
          <w:tcPr>
            <w:tcW w:type="dxa" w:w="164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2026-08-24</w:t>
            </w:r>
          </w:p>
        </w:tc>
        <w:tc>
          <w:tcPr>
            <w:tcW w:type="dxa" w:w="10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Open</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06:25</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A-05</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Draft the rollback checklist for the beta launch.</w:t>
            </w:r>
          </w:p>
        </w:tc>
        <w:tc>
          <w:tcPr>
            <w:tcW w:type="dxa" w:w="1370"/>
            <w:shd w:fill="FFF4E5"/>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Unassigned</w:t>
            </w:r>
          </w:p>
        </w:tc>
        <w:tc>
          <w:tcPr>
            <w:tcW w:type="dxa" w:w="1640"/>
            <w:shd w:fill="FFF4E5"/>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Not stated</w:t>
            </w:r>
          </w:p>
        </w:tc>
        <w:tc>
          <w:tcPr>
            <w:tcW w:type="dxa" w:w="1080"/>
            <w:shd w:fill="FFF4E5"/>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Needs owner</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06:42</w:t>
            </w:r>
          </w:p>
        </w:tc>
      </w:tr>
      <w:tr>
        <w:trPr>
          <w:trHeight w:hRule="atLeast"/>
          <w:cantSplit/>
        </w:trPr>
        <w:tc>
          <w:tcPr>
            <w:tcW w:type="dxa" w:w="52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A-06</w:t>
            </w:r>
          </w:p>
        </w:tc>
        <w:tc>
          <w:tcPr>
            <w:tcW w:type="dxa" w:w="3370"/>
            <w:tcMar>
              <w:top w:w="80" w:type="dxa"/>
              <w:start w:w="120" w:type="dxa"/>
              <w:bottom w:w="80" w:type="dxa"/>
              <w:end w:w="120" w:type="dxa"/>
            </w:tcMar>
            <w:vAlign w:val="center"/>
          </w:tcPr>
          <w:p>
            <w:pPr>
              <w:spacing w:before="0" w:after="60" w:line="252" w:lineRule="auto"/>
              <w:jc w:val="left"/>
            </w:pPr>
            <w:r>
              <w:rPr>
                <w:rFonts w:ascii="Calibri" w:hAnsi="Calibri"/>
                <w:color w:val="20262E"/>
                <w:sz w:val="18"/>
              </w:rPr>
              <w:t>Schedule and lead the beta readiness review.</w:t>
            </w:r>
          </w:p>
        </w:tc>
        <w:tc>
          <w:tcPr>
            <w:tcW w:type="dxa" w:w="137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Maya Chen</w:t>
            </w:r>
          </w:p>
        </w:tc>
        <w:tc>
          <w:tcPr>
            <w:tcW w:type="dxa" w:w="164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2026-09-04 10:00 AM ET</w:t>
            </w:r>
          </w:p>
        </w:tc>
        <w:tc>
          <w:tcPr>
            <w:tcW w:type="dxa" w:w="10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Open</w:t>
            </w:r>
          </w:p>
        </w:tc>
        <w:tc>
          <w:tcPr>
            <w:tcW w:type="dxa" w:w="1380"/>
            <w:tcMar>
              <w:top w:w="80" w:type="dxa"/>
              <w:start w:w="120" w:type="dxa"/>
              <w:bottom w:w="80" w:type="dxa"/>
              <w:end w:w="120" w:type="dxa"/>
            </w:tcMar>
            <w:vAlign w:val="center"/>
          </w:tcPr>
          <w:p>
            <w:pPr>
              <w:spacing w:before="0" w:after="60" w:line="252" w:lineRule="auto"/>
              <w:jc w:val="center"/>
            </w:pPr>
            <w:r>
              <w:rPr>
                <w:rFonts w:ascii="Calibri" w:hAnsi="Calibri"/>
                <w:color w:val="20262E"/>
                <w:sz w:val="18"/>
              </w:rPr>
              <w:t>07:37</w:t>
            </w:r>
          </w:p>
        </w:tc>
      </w:tr>
    </w:tbl>
    <w:p>
      <w:pPr>
        <w:spacing w:before="80" w:after="80"/>
      </w:pPr>
      <w:r>
        <w:rPr>
          <w:rFonts w:ascii="Calibri" w:hAnsi="Calibri"/>
          <w:i/>
          <w:color w:val="5F6B78"/>
          <w:sz w:val="18"/>
        </w:rPr>
        <w:t>Source: fictional transcript timestamps shown in the table.</w:t>
      </w:r>
    </w:p>
    <w:p>
      <w:pPr>
        <w:spacing w:before="80" w:after="160" w:line="264" w:lineRule="auto"/>
        <w:ind w:left="173" w:right="115"/>
        <w:shd w:fill="F4F6F9"/>
        <w:pBdr>
          <w:left w:val="single" w:sz="18" w:space="8" w:color="2E74B5"/>
        </w:pBdr>
      </w:pPr>
      <w:r>
        <w:rPr>
          <w:rFonts w:ascii="Calibri" w:hAnsi="Calibri"/>
          <w:b/>
          <w:color w:val="1F4D78"/>
          <w:sz w:val="21"/>
        </w:rPr>
        <w:t xml:space="preserve">GROUNDING CHECK. </w:t>
      </w:r>
      <w:r>
        <w:rPr>
          <w:rFonts w:ascii="Calibri" w:hAnsi="Calibri"/>
          <w:color w:val="20262E"/>
          <w:sz w:val="21"/>
        </w:rPr>
        <w:t>Named owners and due dates appear only where the speaker explicitly accepted the work and date. The status column is an operational label, not a transcript claim.</w:t>
      </w:r>
    </w:p>
    <w:p>
      <w:r>
        <w:br w:type="page"/>
      </w:r>
    </w:p>
    <w:p>
      <w:pPr>
        <w:pStyle w:val="Heading1"/>
      </w:pPr>
      <w:r>
        <w:t>Unanswered questions</w:t>
      </w:r>
    </w:p>
    <w:p>
      <w:pPr>
        <w:keepNext/>
        <w:spacing w:before="80" w:after="40"/>
      </w:pPr>
      <w:r>
        <w:rPr>
          <w:rFonts w:ascii="Calibri" w:hAnsi="Calibri"/>
          <w:b/>
          <w:color w:val="2E74B5"/>
          <w:sz w:val="20"/>
        </w:rPr>
        <w:t xml:space="preserve">Q-01  </w:t>
      </w:r>
      <w:r>
        <w:rPr>
          <w:rFonts w:ascii="Calibri" w:hAnsi="Calibri"/>
          <w:b/>
          <w:color w:val="20262E"/>
          <w:sz w:val="22"/>
        </w:rPr>
        <w:t>Which analytics event will count as a successful activation?</w:t>
      </w:r>
    </w:p>
    <w:p>
      <w:pPr>
        <w:spacing w:before="0" w:after="140"/>
        <w:ind w:left="490"/>
      </w:pPr>
      <w:r>
        <w:rPr>
          <w:rFonts w:ascii="Calibri" w:hAnsi="Calibri"/>
          <w:color w:val="20262E"/>
          <w:sz w:val="20"/>
        </w:rPr>
        <w:t>The team named two candidates but did not select one. Owner: Unassigned. Due: Not stated.</w:t>
      </w:r>
      <w:r>
        <w:rPr>
          <w:rFonts w:ascii="Calibri" w:hAnsi="Calibri"/>
          <w:i/>
          <w:color w:val="5F6B78"/>
          <w:sz w:val="19"/>
        </w:rPr>
        <w:t xml:space="preserve">  [source 04:58]</w:t>
      </w:r>
    </w:p>
    <w:p>
      <w:pPr>
        <w:keepNext/>
        <w:spacing w:before="80" w:after="40"/>
      </w:pPr>
      <w:r>
        <w:rPr>
          <w:rFonts w:ascii="Calibri" w:hAnsi="Calibri"/>
          <w:b/>
          <w:color w:val="2E74B5"/>
          <w:sz w:val="20"/>
        </w:rPr>
        <w:t xml:space="preserve">Q-02  </w:t>
      </w:r>
      <w:r>
        <w:rPr>
          <w:rFonts w:ascii="Calibri" w:hAnsi="Calibri"/>
          <w:b/>
          <w:color w:val="20262E"/>
          <w:sz w:val="22"/>
        </w:rPr>
        <w:t>What response-time commitment will the shared beta support inbox advertise?</w:t>
      </w:r>
    </w:p>
    <w:p>
      <w:pPr>
        <w:spacing w:before="0" w:after="140"/>
        <w:ind w:left="490"/>
      </w:pPr>
      <w:r>
        <w:rPr>
          <w:rFonts w:ascii="Calibri" w:hAnsi="Calibri"/>
          <w:color w:val="20262E"/>
          <w:sz w:val="20"/>
        </w:rPr>
        <w:t>Leo requested a clear promise; no service level was chosen. Owner: Unassigned. Due: Not stated.</w:t>
      </w:r>
      <w:r>
        <w:rPr>
          <w:rFonts w:ascii="Calibri" w:hAnsi="Calibri"/>
          <w:i/>
          <w:color w:val="5F6B78"/>
          <w:sz w:val="19"/>
        </w:rPr>
        <w:t xml:space="preserve">  [source 07:00]</w:t>
      </w:r>
    </w:p>
    <w:p>
      <w:pPr>
        <w:keepNext/>
        <w:spacing w:before="80" w:after="40"/>
      </w:pPr>
      <w:r>
        <w:rPr>
          <w:rFonts w:ascii="Calibri" w:hAnsi="Calibri"/>
          <w:b/>
          <w:color w:val="2E74B5"/>
          <w:sz w:val="20"/>
        </w:rPr>
        <w:t xml:space="preserve">Q-03  </w:t>
      </w:r>
      <w:r>
        <w:rPr>
          <w:rFonts w:ascii="Calibri" w:hAnsi="Calibri"/>
          <w:b/>
          <w:color w:val="20262E"/>
          <w:sz w:val="22"/>
        </w:rPr>
        <w:t>Will the first beta training session be recorded for participants who cannot attend?</w:t>
      </w:r>
    </w:p>
    <w:p>
      <w:pPr>
        <w:spacing w:before="0" w:after="140"/>
        <w:ind w:left="490"/>
      </w:pPr>
      <w:r>
        <w:rPr>
          <w:rFonts w:ascii="Calibri" w:hAnsi="Calibri"/>
          <w:color w:val="20262E"/>
          <w:sz w:val="20"/>
        </w:rPr>
        <w:t>Priya raised the question; consent and distribution details were not discussed. Owner: Unassigned. Due: Not stated.</w:t>
      </w:r>
      <w:r>
        <w:rPr>
          <w:rFonts w:ascii="Calibri" w:hAnsi="Calibri"/>
          <w:i/>
          <w:color w:val="5F6B78"/>
          <w:sz w:val="19"/>
        </w:rPr>
        <w:t xml:space="preserve">  [source 07:18]</w:t>
      </w:r>
    </w:p>
    <w:p>
      <w:pPr>
        <w:pStyle w:val="Heading1"/>
      </w:pPr>
      <w:r>
        <w:t>Timestamped notes</w:t>
      </w:r>
    </w:p>
    <w:p>
      <w:pPr>
        <w:keepNext/>
        <w:spacing w:before="80" w:after="40"/>
      </w:pPr>
      <w:r>
        <w:rPr>
          <w:rFonts w:ascii="Calibri" w:hAnsi="Calibri"/>
          <w:b/>
          <w:color w:val="2E74B5"/>
          <w:sz w:val="20"/>
        </w:rPr>
        <w:t xml:space="preserve">00:18  </w:t>
      </w:r>
      <w:r>
        <w:rPr>
          <w:rFonts w:ascii="Calibri" w:hAnsi="Calibri"/>
          <w:b/>
          <w:color w:val="20262E"/>
          <w:sz w:val="22"/>
        </w:rPr>
        <w:t>Meeting objective</w:t>
      </w:r>
    </w:p>
    <w:p>
      <w:pPr>
        <w:spacing w:before="0" w:after="140"/>
        <w:ind w:left="490"/>
      </w:pPr>
      <w:r>
        <w:rPr>
          <w:rFonts w:ascii="Calibri" w:hAnsi="Calibri"/>
          <w:color w:val="20262E"/>
          <w:sz w:val="20"/>
        </w:rPr>
        <w:t>Confirm the beta date, cohort, readiness work, and open launch risks.</w:t>
      </w:r>
      <w:r>
        <w:rPr>
          <w:rFonts w:ascii="Calibri" w:hAnsi="Calibri"/>
          <w:i/>
          <w:color w:val="5F6B78"/>
          <w:sz w:val="19"/>
        </w:rPr>
        <w:t xml:space="preserve">  [source 00:18]</w:t>
      </w:r>
    </w:p>
    <w:p>
      <w:pPr>
        <w:keepNext/>
        <w:spacing w:before="80" w:after="40"/>
      </w:pPr>
      <w:r>
        <w:rPr>
          <w:rFonts w:ascii="Calibri" w:hAnsi="Calibri"/>
          <w:b/>
          <w:color w:val="2E74B5"/>
          <w:sz w:val="20"/>
        </w:rPr>
        <w:t xml:space="preserve">00:39  </w:t>
      </w:r>
      <w:r>
        <w:rPr>
          <w:rFonts w:ascii="Calibri" w:hAnsi="Calibri"/>
          <w:b/>
          <w:color w:val="20262E"/>
          <w:sz w:val="22"/>
        </w:rPr>
        <w:t>Build readiness</w:t>
      </w:r>
    </w:p>
    <w:p>
      <w:pPr>
        <w:spacing w:before="0" w:after="140"/>
        <w:ind w:left="490"/>
      </w:pPr>
      <w:r>
        <w:rPr>
          <w:rFonts w:ascii="Calibri" w:hAnsi="Calibri"/>
          <w:color w:val="20262E"/>
          <w:sz w:val="20"/>
        </w:rPr>
        <w:t>Core workspace flow is stable; remaining work is invite handling, error copy, and one export defect.</w:t>
      </w:r>
      <w:r>
        <w:rPr>
          <w:rFonts w:ascii="Calibri" w:hAnsi="Calibri"/>
          <w:i/>
          <w:color w:val="5F6B78"/>
          <w:sz w:val="19"/>
        </w:rPr>
        <w:t xml:space="preserve">  [source 00:39]</w:t>
      </w:r>
    </w:p>
    <w:p>
      <w:pPr>
        <w:keepNext/>
        <w:spacing w:before="80" w:after="40"/>
      </w:pPr>
      <w:r>
        <w:rPr>
          <w:rFonts w:ascii="Calibri" w:hAnsi="Calibri"/>
          <w:b/>
          <w:color w:val="2E74B5"/>
          <w:sz w:val="20"/>
        </w:rPr>
        <w:t xml:space="preserve">01:05  </w:t>
      </w:r>
      <w:r>
        <w:rPr>
          <w:rFonts w:ascii="Calibri" w:hAnsi="Calibri"/>
          <w:b/>
          <w:color w:val="20262E"/>
          <w:sz w:val="22"/>
        </w:rPr>
        <w:t>Customer fit</w:t>
      </w:r>
    </w:p>
    <w:p>
      <w:pPr>
        <w:spacing w:before="0" w:after="140"/>
        <w:ind w:left="490"/>
      </w:pPr>
      <w:r>
        <w:rPr>
          <w:rFonts w:ascii="Calibri" w:hAnsi="Calibri"/>
          <w:color w:val="20262E"/>
          <w:sz w:val="20"/>
        </w:rPr>
        <w:t>Customer Success favors teams with repeatable client delivery and enough workflow maturity to provide useful feedback.</w:t>
      </w:r>
      <w:r>
        <w:rPr>
          <w:rFonts w:ascii="Calibri" w:hAnsi="Calibri"/>
          <w:i/>
          <w:color w:val="5F6B78"/>
          <w:sz w:val="19"/>
        </w:rPr>
        <w:t xml:space="preserve">  [source 01:05]</w:t>
      </w:r>
    </w:p>
    <w:p>
      <w:pPr>
        <w:keepNext/>
        <w:spacing w:before="80" w:after="40"/>
      </w:pPr>
      <w:r>
        <w:rPr>
          <w:rFonts w:ascii="Calibri" w:hAnsi="Calibri"/>
          <w:b/>
          <w:color w:val="2E74B5"/>
          <w:sz w:val="20"/>
        </w:rPr>
        <w:t xml:space="preserve">03:20  </w:t>
      </w:r>
      <w:r>
        <w:rPr>
          <w:rFonts w:ascii="Calibri" w:hAnsi="Calibri"/>
          <w:b/>
          <w:color w:val="20262E"/>
          <w:sz w:val="22"/>
        </w:rPr>
        <w:t>Cohort shape</w:t>
      </w:r>
    </w:p>
    <w:p>
      <w:pPr>
        <w:spacing w:before="0" w:after="140"/>
        <w:ind w:left="490"/>
      </w:pPr>
      <w:r>
        <w:rPr>
          <w:rFonts w:ascii="Calibri" w:hAnsi="Calibri"/>
          <w:color w:val="20262E"/>
          <w:sz w:val="20"/>
        </w:rPr>
        <w:t>A balanced two-segment cohort was proposed to avoid overfitting feedback to one customer type.</w:t>
      </w:r>
      <w:r>
        <w:rPr>
          <w:rFonts w:ascii="Calibri" w:hAnsi="Calibri"/>
          <w:i/>
          <w:color w:val="5F6B78"/>
          <w:sz w:val="19"/>
        </w:rPr>
        <w:t xml:space="preserve">  [source 03:20]</w:t>
      </w:r>
    </w:p>
    <w:p>
      <w:pPr>
        <w:keepNext/>
        <w:spacing w:before="80" w:after="40"/>
      </w:pPr>
      <w:r>
        <w:rPr>
          <w:rFonts w:ascii="Calibri" w:hAnsi="Calibri"/>
          <w:b/>
          <w:color w:val="2E74B5"/>
          <w:sz w:val="20"/>
        </w:rPr>
        <w:t xml:space="preserve">04:13  </w:t>
      </w:r>
      <w:r>
        <w:rPr>
          <w:rFonts w:ascii="Calibri" w:hAnsi="Calibri"/>
          <w:b/>
          <w:color w:val="20262E"/>
          <w:sz w:val="22"/>
        </w:rPr>
        <w:t>Onboarding control</w:t>
      </w:r>
    </w:p>
    <w:p>
      <w:pPr>
        <w:spacing w:before="0" w:after="140"/>
        <w:ind w:left="490"/>
      </w:pPr>
      <w:r>
        <w:rPr>
          <w:rFonts w:ascii="Calibri" w:hAnsi="Calibri"/>
          <w:color w:val="20262E"/>
          <w:sz w:val="20"/>
        </w:rPr>
        <w:t>Marketing requested a clear readiness gate so prospects know activation is not immediate after accepting an invite.</w:t>
      </w:r>
      <w:r>
        <w:rPr>
          <w:rFonts w:ascii="Calibri" w:hAnsi="Calibri"/>
          <w:i/>
          <w:color w:val="5F6B78"/>
          <w:sz w:val="19"/>
        </w:rPr>
        <w:t xml:space="preserve">  [source 04:13]</w:t>
      </w:r>
    </w:p>
    <w:p>
      <w:pPr>
        <w:keepNext/>
        <w:spacing w:before="80" w:after="40"/>
      </w:pPr>
      <w:r>
        <w:rPr>
          <w:rFonts w:ascii="Calibri" w:hAnsi="Calibri"/>
          <w:b/>
          <w:color w:val="2E74B5"/>
          <w:sz w:val="20"/>
        </w:rPr>
        <w:t xml:space="preserve">04:58  </w:t>
      </w:r>
      <w:r>
        <w:rPr>
          <w:rFonts w:ascii="Calibri" w:hAnsi="Calibri"/>
          <w:b/>
          <w:color w:val="20262E"/>
          <w:sz w:val="22"/>
        </w:rPr>
        <w:t>Measurement gap</w:t>
      </w:r>
    </w:p>
    <w:p>
      <w:pPr>
        <w:spacing w:before="0" w:after="140"/>
        <w:ind w:left="490"/>
      </w:pPr>
      <w:r>
        <w:rPr>
          <w:rFonts w:ascii="Calibri" w:hAnsi="Calibri"/>
          <w:color w:val="20262E"/>
          <w:sz w:val="20"/>
        </w:rPr>
        <w:t>The activation definition is unresolved; candidates are first workspace creation or first completed client handoff.</w:t>
      </w:r>
      <w:r>
        <w:rPr>
          <w:rFonts w:ascii="Calibri" w:hAnsi="Calibri"/>
          <w:i/>
          <w:color w:val="5F6B78"/>
          <w:sz w:val="19"/>
        </w:rPr>
        <w:t xml:space="preserve">  [source 04:58]</w:t>
      </w:r>
    </w:p>
    <w:p>
      <w:pPr>
        <w:keepNext/>
        <w:spacing w:before="80" w:after="40"/>
      </w:pPr>
      <w:r>
        <w:rPr>
          <w:rFonts w:ascii="Calibri" w:hAnsi="Calibri"/>
          <w:b/>
          <w:color w:val="2E74B5"/>
          <w:sz w:val="20"/>
        </w:rPr>
        <w:t xml:space="preserve">06:42  </w:t>
      </w:r>
      <w:r>
        <w:rPr>
          <w:rFonts w:ascii="Calibri" w:hAnsi="Calibri"/>
          <w:b/>
          <w:color w:val="20262E"/>
          <w:sz w:val="22"/>
        </w:rPr>
        <w:t>Rollback readiness</w:t>
      </w:r>
    </w:p>
    <w:p>
      <w:pPr>
        <w:spacing w:before="0" w:after="140"/>
        <w:ind w:left="490"/>
      </w:pPr>
      <w:r>
        <w:rPr>
          <w:rFonts w:ascii="Calibri" w:hAnsi="Calibri"/>
          <w:color w:val="20262E"/>
          <w:sz w:val="20"/>
        </w:rPr>
        <w:t>A rollback checklist is required, but no owner or due date was assigned.</w:t>
      </w:r>
      <w:r>
        <w:rPr>
          <w:rFonts w:ascii="Calibri" w:hAnsi="Calibri"/>
          <w:i/>
          <w:color w:val="5F6B78"/>
          <w:sz w:val="19"/>
        </w:rPr>
        <w:t xml:space="preserve">  [source 06:42]</w:t>
      </w:r>
    </w:p>
    <w:p>
      <w:pPr>
        <w:keepNext/>
        <w:spacing w:before="80" w:after="40"/>
      </w:pPr>
      <w:r>
        <w:rPr>
          <w:rFonts w:ascii="Calibri" w:hAnsi="Calibri"/>
          <w:b/>
          <w:color w:val="2E74B5"/>
          <w:sz w:val="20"/>
        </w:rPr>
        <w:t xml:space="preserve">07:54  </w:t>
      </w:r>
      <w:r>
        <w:rPr>
          <w:rFonts w:ascii="Calibri" w:hAnsi="Calibri"/>
          <w:b/>
          <w:color w:val="20262E"/>
          <w:sz w:val="22"/>
        </w:rPr>
        <w:t>Close</w:t>
      </w:r>
    </w:p>
    <w:p>
      <w:pPr>
        <w:spacing w:before="0" w:after="140"/>
        <w:ind w:left="490"/>
      </w:pPr>
      <w:r>
        <w:rPr>
          <w:rFonts w:ascii="Calibri" w:hAnsi="Calibri"/>
          <w:color w:val="20262E"/>
          <w:sz w:val="20"/>
        </w:rPr>
        <w:t>Maya restated the September 8 target and asked the team to flag risks in the shared channel.</w:t>
      </w:r>
      <w:r>
        <w:rPr>
          <w:rFonts w:ascii="Calibri" w:hAnsi="Calibri"/>
          <w:i/>
          <w:color w:val="5F6B78"/>
          <w:sz w:val="19"/>
        </w:rPr>
        <w:t xml:space="preserve">  [source 07:54]</w:t>
      </w:r>
    </w:p>
    <w:p>
      <w:r>
        <w:br w:type="page"/>
      </w:r>
    </w:p>
    <w:p>
      <w:pPr>
        <w:pStyle w:val="Heading1"/>
      </w:pPr>
      <w:r>
        <w:t>Ready-to-send follow-up email</w:t>
      </w:r>
    </w:p>
    <w:p>
      <w:pPr>
        <w:spacing w:before="0" w:after="160"/>
      </w:pPr>
      <w:r>
        <w:rPr>
          <w:rFonts w:ascii="Calibri" w:hAnsi="Calibri"/>
          <w:b/>
          <w:color w:val="20262E"/>
          <w:sz w:val="21"/>
        </w:rPr>
        <w:t xml:space="preserve">To: </w:t>
      </w:r>
      <w:r>
        <w:rPr>
          <w:rFonts w:ascii="Calibri" w:hAnsi="Calibri"/>
          <w:color w:val="20262E"/>
          <w:sz w:val="21"/>
        </w:rPr>
        <w:t>Maya Chen; Omar Reyes; Priya Shah; Leo Grant</w:t>
        <w:br/>
      </w:r>
      <w:r>
        <w:rPr>
          <w:rFonts w:ascii="Calibri" w:hAnsi="Calibri"/>
          <w:b/>
          <w:color w:val="20262E"/>
          <w:sz w:val="21"/>
        </w:rPr>
        <w:t xml:space="preserve">Subject: </w:t>
      </w:r>
      <w:r>
        <w:rPr>
          <w:rFonts w:ascii="Calibri" w:hAnsi="Calibri"/>
          <w:color w:val="20262E"/>
          <w:sz w:val="21"/>
        </w:rPr>
        <w:t>Atlas beta: decisions, owners, and open questions</w:t>
      </w:r>
    </w:p>
    <w:p>
      <w:pPr>
        <w:spacing w:before="100" w:after="120" w:line="259" w:lineRule="auto"/>
        <w:ind w:left="216" w:right="173"/>
        <w:shd w:fill="F8FAFC"/>
      </w:pPr>
      <w:r>
        <w:rPr>
          <w:rFonts w:ascii="Calibri" w:hAnsi="Calibri"/>
          <w:color w:val="20262E"/>
          <w:sz w:val="20"/>
        </w:rPr>
        <w:t>Team,</w:t>
      </w:r>
    </w:p>
    <w:p>
      <w:pPr>
        <w:spacing w:before="0" w:after="120" w:line="259" w:lineRule="auto"/>
        <w:ind w:left="216" w:right="173"/>
        <w:shd w:fill="F8FAFC"/>
      </w:pPr>
      <w:r>
        <w:rPr>
          <w:rFonts w:ascii="Calibri" w:hAnsi="Calibri"/>
          <w:color w:val="20262E"/>
          <w:sz w:val="20"/>
        </w:rPr>
        <w:t>Here is the agreed plan from today's Atlas beta meeting. We are targeting Tuesday, September 8, 2026, with a readiness review on Friday, September 4 at 10:00 AM ET. The cohort is capped at 20 accounts - 10 design agencies and 10 professional-services firms - and every participant must complete the onboarding checklist before activation.</w:t>
      </w:r>
    </w:p>
    <w:p>
      <w:pPr>
        <w:spacing w:before="0" w:after="120" w:line="259" w:lineRule="auto"/>
        <w:ind w:left="216" w:right="173"/>
        <w:shd w:fill="F8FAFC"/>
      </w:pPr>
      <w:r>
        <w:rPr>
          <w:rFonts w:ascii="Calibri" w:hAnsi="Calibri"/>
          <w:color w:val="20262E"/>
          <w:sz w:val="20"/>
        </w:rPr>
        <w:t>Owners: Omar will publish the candidate build and release notes by Friday, August 21 at 3:00 PM ET. Maya will circulate the final cohort list by Monday, August 24. Priya will deliver the invitation and FAQ by Tuesday, August 25. Leo will recruit the 20 accounts by Wednesday, August 26. Maya will schedule and lead the September 4 readiness review.</w:t>
      </w:r>
    </w:p>
    <w:p>
      <w:pPr>
        <w:spacing w:before="0" w:after="120" w:line="259" w:lineRule="auto"/>
        <w:ind w:left="216" w:right="173"/>
        <w:shd w:fill="F8FAFC"/>
      </w:pPr>
      <w:r>
        <w:rPr>
          <w:rFonts w:ascii="Calibri" w:hAnsi="Calibri"/>
          <w:color w:val="20262E"/>
          <w:sz w:val="20"/>
        </w:rPr>
        <w:t>Needs assignment: the rollback checklist has no owner or due date. Open questions are the activation event, the response-time promise for the shared beta inbox, and whether the first training session will be recorded.</w:t>
      </w:r>
    </w:p>
    <w:p>
      <w:pPr>
        <w:spacing w:before="0" w:after="120" w:line="259" w:lineRule="auto"/>
        <w:ind w:left="216" w:right="173"/>
        <w:shd w:fill="F8FAFC"/>
      </w:pPr>
      <w:r>
        <w:rPr>
          <w:rFonts w:ascii="Calibri" w:hAnsi="Calibri"/>
          <w:color w:val="20262E"/>
          <w:sz w:val="20"/>
        </w:rPr>
        <w:t>Please reply with corrections to any decision, owner, or deadline. If there are no corrections, use the shared channel for risk updates before the readiness review.</w:t>
      </w:r>
    </w:p>
    <w:p>
      <w:pPr>
        <w:spacing w:before="0" w:after="120" w:line="259" w:lineRule="auto"/>
        <w:ind w:left="216" w:right="173"/>
        <w:shd w:fill="F8FAFC"/>
      </w:pPr>
      <w:r>
        <w:rPr>
          <w:rFonts w:ascii="Calibri" w:hAnsi="Calibri"/>
          <w:color w:val="20262E"/>
          <w:sz w:val="20"/>
        </w:rPr>
        <w:t>Thanks,</w:t>
        <w:br/>
        <w:t>Maya</w:t>
      </w:r>
    </w:p>
    <w:p>
      <w:pPr>
        <w:pStyle w:val="Heading1"/>
      </w:pPr>
      <w:r>
        <w:t>Processing disclosure</w:t>
      </w:r>
    </w:p>
    <w:p>
      <w:pPr>
        <w:spacing w:before="80" w:after="160" w:line="264" w:lineRule="auto"/>
        <w:ind w:left="173" w:right="115"/>
        <w:shd w:fill="F4F6F9"/>
        <w:pBdr>
          <w:left w:val="single" w:sz="18" w:space="8" w:color="2E74B5"/>
        </w:pBdr>
      </w:pPr>
      <w:r>
        <w:rPr>
          <w:rFonts w:ascii="Calibri" w:hAnsi="Calibri"/>
          <w:b/>
          <w:color w:val="1F4D78"/>
          <w:sz w:val="21"/>
        </w:rPr>
        <w:t xml:space="preserve">FICTIONAL DEMO. </w:t>
      </w:r>
      <w:r>
        <w:rPr>
          <w:rFonts w:ascii="Calibri" w:hAnsi="Calibri"/>
          <w:color w:val="20262E"/>
          <w:sz w:val="21"/>
        </w:rPr>
        <w:t>This public proof bundle was generated from an invented transcript using an AI-assisted workflow. The workflow cleans transcript text, separates speakers, and extracts summaries, decisions, actions, questions, and a follow-up draft. Every decision and action below is tied to a source timestamp. Owners and deadlines are included only when a speaker explicitly states them; otherwise the fields read Unassigned or Not stated. Production customers must confirm recording consent and must review the output because transcription, speaker attribution, and extraction can be wrong. Production uploads are intended for time-limited processing and deletion within 72 hours after delivery. Medical, legal, privileged, disciplinary HR, and other high-risk recordings are outside scope.</w:t>
      </w:r>
    </w:p>
    <w:p>
      <w:pPr>
        <w:spacing w:before="80" w:after="120"/>
      </w:pPr>
      <w:r>
        <w:rPr>
          <w:rFonts w:ascii="Calibri" w:hAnsi="Calibri"/>
          <w:b/>
          <w:color w:val="20262E"/>
          <w:sz w:val="20"/>
        </w:rPr>
        <w:t xml:space="preserve">Consent record: </w:t>
      </w:r>
      <w:r>
        <w:rPr>
          <w:rFonts w:ascii="Calibri" w:hAnsi="Calibri"/>
          <w:color w:val="20262E"/>
          <w:sz w:val="20"/>
        </w:rPr>
        <w:t>All named participants are fictional. In the fictional scenario, every participant explicitly consented to recording and transcript processing before the meeting began.</w:t>
      </w:r>
    </w:p>
    <w:p>
      <w:pPr>
        <w:pStyle w:val="Heading2"/>
      </w:pPr>
      <w:r>
        <w:t>Bundle map</w:t>
      </w:r>
    </w:p>
    <w:p>
      <w:pPr>
        <w:numPr>
          <w:ilvl w:val="0"/>
          <w:numId w:val="10"/>
        </w:numPr>
      </w:pPr>
      <w:r>
        <w:rPr>
          <w:rFonts w:ascii="Calibri" w:hAnsi="Calibri"/>
          <w:color w:val="20262E"/>
          <w:sz w:val="22"/>
        </w:rPr>
        <w:t>Meeting-to-Action-Source.txt - readable fictional transcript and disclosures.</w:t>
      </w:r>
    </w:p>
    <w:p>
      <w:pPr>
        <w:numPr>
          <w:ilvl w:val="0"/>
          <w:numId w:val="10"/>
        </w:numPr>
      </w:pPr>
      <w:r>
        <w:rPr>
          <w:rFonts w:ascii="Calibri" w:hAnsi="Calibri"/>
          <w:color w:val="20262E"/>
          <w:sz w:val="22"/>
        </w:rPr>
        <w:t>meeting-to-action-source.json - structured source of truth used to generate every deliverable.</w:t>
      </w:r>
    </w:p>
    <w:p>
      <w:pPr>
        <w:numPr>
          <w:ilvl w:val="0"/>
          <w:numId w:val="10"/>
        </w:numPr>
      </w:pPr>
      <w:r>
        <w:rPr>
          <w:rFonts w:ascii="Calibri" w:hAnsi="Calibri"/>
          <w:color w:val="20262E"/>
          <w:sz w:val="22"/>
        </w:rPr>
        <w:t>Meeting-to-Action-Demo.docx - editable decision-ready brief.</w:t>
      </w:r>
    </w:p>
    <w:p>
      <w:pPr>
        <w:numPr>
          <w:ilvl w:val="0"/>
          <w:numId w:val="10"/>
        </w:numPr>
      </w:pPr>
      <w:r>
        <w:rPr>
          <w:rFonts w:ascii="Calibri" w:hAnsi="Calibri"/>
          <w:color w:val="20262E"/>
          <w:sz w:val="22"/>
        </w:rPr>
        <w:t>Meeting-to-Action-Demo.pdf - fixed-layout delivery copy.</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5F6B78"/>
        <w:sz w:val="18"/>
      </w:rPr>
      <w:t xml:space="preserve">Fictional demo | Page </w:t>
    </w:r>
    <w:r>
      <w:rPr>
        <w:rFonts w:ascii="Calibri" w:hAnsi="Calibri"/>
        <w:color w:val="5F6B78"/>
        <w:sz w:val="18"/>
      </w:rPr>
      <w:fldChar w:fldCharType="begin"/>
      <w:instrText xml:space="preserve">PAGE</w:instrText>
      <w:fldChar w:fldCharType="separate"/>
      <w:t>1</w:t>
      <w:fldChar w:fldCharType="end"/>
    </w:r>
    <w:r>
      <w:rPr>
        <w:rFonts w:ascii="Calibri" w:hAnsi="Calibri"/>
        <w:color w:val="5F6B78"/>
        <w:sz w:val="18"/>
      </w:rPr>
      <w:t xml:space="preserve"> of </w:t>
    </w:r>
    <w:r>
      <w:rPr>
        <w:rFonts w:ascii="Calibri" w:hAnsi="Calibri"/>
        <w:color w:val="5F6B78"/>
        <w:sz w:val="18"/>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before="0" w:after="0"/>
    </w:pPr>
    <w:r>
      <w:rPr>
        <w:rFonts w:ascii="Calibri" w:hAnsi="Calibri"/>
        <w:b/>
        <w:color w:val="5F6B78"/>
        <w:sz w:val="17"/>
      </w:rPr>
      <w:t>MEETING-TO-ACTION DEMO</w:t>
    </w:r>
    <w:r>
      <w:rPr>
        <w:rFonts w:ascii="Calibri" w:hAnsi="Calibri"/>
        <w:color w:val="5F6B78"/>
        <w:sz w:val="17"/>
      </w:rPr>
      <w:tab/>
      <w:t>FICTIONAL PROOF BUNDLE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720"/>
        </w:tabs>
        <w:ind w:left="720" w:hanging="360"/>
        <w:spacing w:after="160" w:line="280" w:lineRule="auto"/>
      </w:pPr>
      <w:rPr>
        <w:rFonts w:ascii="Calibri" w:hAnsi="Calibri"/>
      </w:rPr>
    </w:lvl>
  </w:abstractNum>
  <w:abstractNum w:abstractNumId="10">
    <w:multiLevelType w:val="singleLevel"/>
    <w:lvl w:ilvl="0">
      <w:start w:val="1"/>
      <w:numFmt w:val="decimal"/>
      <w:lvlText w:val="%1."/>
      <w:lvlJc w:val="left"/>
      <w:pPr>
        <w:tabs>
          <w:tab w:val="num" w:pos="720"/>
        </w:tabs>
        <w:ind w:left="720" w:hanging="360"/>
        <w:spacing w:after="160" w:line="28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jc w:val="left"/>
    </w:pPr>
    <w:rPr>
      <w:rFonts w:ascii="Calibri" w:hAnsi="Calibri"/>
      <w:color w:val="2026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40" w:lineRule="auto" w:before="0"/>
      <w:contextualSpacing/>
    </w:pPr>
    <w:rPr>
      <w:rFonts w:asciiTheme="majorHAnsi" w:eastAsiaTheme="majorEastAsia" w:hAnsiTheme="majorHAnsi" w:cstheme="majorBidi" w:ascii="Calibri" w:hAnsi="Calibri"/>
      <w:b/>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20"/>
    </w:pPr>
    <w:rPr>
      <w:rFonts w:asciiTheme="majorHAnsi" w:eastAsiaTheme="majorEastAsia" w:hAnsiTheme="majorHAnsi" w:cstheme="majorBidi" w:ascii="Calibri" w:hAnsi="Calibri"/>
      <w:i/>
      <w:iCs/>
      <w:color w:val="373737"/>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Meeting-to-Action Demo - Atlas Beta Launch Planning</dc:title>
  <dc:subject>Fictional proof bundle for timestamp-grounded meeting outputs</dc:subject>
  <dc:creator>AI-assisted fictional demonstration</dc:creator>
  <cp:keywords>fictional demo, meeting notes, action register, transcript</cp:keywords>
  <dc:description>generated by python-docx</dc:description>
  <cp:lastModifiedBy/>
  <cp:revision>1</cp:revision>
  <dcterms:created xsi:type="dcterms:W3CDTF">2013-12-23T23:15:00Z</dcterms:created>
  <dcterms:modified xsi:type="dcterms:W3CDTF">2013-12-23T23:15:00Z</dcterms:modified>
  <cp:category/>
</cp:coreProperties>
</file>